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ind w:firstLine="708" w:left="7080"/>
      </w:pPr>
      <w:r>
        <w:t>проект</w:t>
      </w:r>
    </w:p>
    <w:p w14:paraId="06000000">
      <w:pPr>
        <w:rPr>
          <w:rFonts w:ascii="Courier New" w:hAnsi="Courier New"/>
          <w:sz w:val="16"/>
        </w:rPr>
      </w:pP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 КИРИЛЛОВСКОГО</w:t>
      </w:r>
      <w:r>
        <w:rPr>
          <w:sz w:val="28"/>
        </w:rPr>
        <w:t xml:space="preserve">  МУНИЦИПАЛЬНОГО  ОКРУГА</w:t>
      </w:r>
    </w:p>
    <w:p w14:paraId="08000000">
      <w:pPr>
        <w:ind/>
        <w:jc w:val="center"/>
        <w:rPr>
          <w:sz w:val="32"/>
        </w:rPr>
      </w:pPr>
      <w:r>
        <w:rPr>
          <w:sz w:val="32"/>
        </w:rPr>
        <w:t>Вологодской области</w:t>
      </w:r>
    </w:p>
    <w:p w14:paraId="09000000">
      <w:pPr>
        <w:rPr>
          <w:sz w:val="32"/>
        </w:rPr>
      </w:pPr>
      <w:r>
        <w:rPr>
          <w:sz w:val="32"/>
        </w:rPr>
        <w:t xml:space="preserve">                              </w:t>
      </w:r>
    </w:p>
    <w:p w14:paraId="0A000000">
      <w:pPr>
        <w:rPr>
          <w:sz w:val="32"/>
        </w:rPr>
      </w:pPr>
    </w:p>
    <w:p w14:paraId="0B000000">
      <w:pPr>
        <w:ind/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14:paraId="0C000000">
      <w:pPr>
        <w:rPr>
          <w:sz w:val="28"/>
        </w:rPr>
      </w:pPr>
    </w:p>
    <w:p w14:paraId="0D000000">
      <w:pPr>
        <w:rPr>
          <w:sz w:val="28"/>
        </w:rPr>
      </w:pPr>
    </w:p>
    <w:tbl>
      <w:tblPr>
        <w:tblStyle w:val="Style_4"/>
        <w:tblLayout w:type="fixed"/>
      </w:tblPr>
      <w:tblGrid>
        <w:gridCol w:w="534"/>
        <w:gridCol w:w="2126"/>
        <w:gridCol w:w="548"/>
        <w:gridCol w:w="869"/>
      </w:tblGrid>
      <w:tr>
        <w:tc>
          <w:tcPr>
            <w:tcW w:type="dxa" w:w="534"/>
            <w:shd w:fill="auto" w:val="clear"/>
          </w:tcPr>
          <w:p w14:paraId="0E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0F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48"/>
            <w:shd w:fill="auto" w:val="clear"/>
          </w:tcPr>
          <w:p w14:paraId="10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869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11000000">
            <w:pPr>
              <w:ind/>
              <w:jc w:val="center"/>
              <w:rPr>
                <w:sz w:val="28"/>
              </w:rPr>
            </w:pPr>
          </w:p>
        </w:tc>
      </w:tr>
    </w:tbl>
    <w:p w14:paraId="12000000">
      <w:pPr>
        <w:rPr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77"/>
      </w:tblGrid>
      <w:tr>
        <w:tc>
          <w:tcPr>
            <w:tcW w:type="dxa" w:w="407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3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 утверждении программы «Профилактика рисков причинения вреда (ущерба) охраняемым законом ценностям по муниципальному земельному контролю на территории Кирилловского муниципального округа на 2026 год»</w:t>
            </w:r>
          </w:p>
          <w:p w14:paraId="14000000">
            <w:pPr>
              <w:pStyle w:val="Style_5"/>
              <w:ind/>
              <w:jc w:val="both"/>
              <w:rPr>
                <w:rFonts w:ascii="Times New Roman" w:hAnsi="Times New Roman"/>
                <w:b w:val="0"/>
                <w:sz w:val="26"/>
              </w:rPr>
            </w:pPr>
          </w:p>
        </w:tc>
      </w:tr>
    </w:tbl>
    <w:p w14:paraId="15000000">
      <w:pPr>
        <w:rPr>
          <w:sz w:val="26"/>
        </w:rPr>
      </w:pPr>
    </w:p>
    <w:p w14:paraId="16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Представительного Собрания Кирилловского муниципального округа от </w:t>
      </w:r>
      <w:r>
        <w:rPr>
          <w:sz w:val="26"/>
        </w:rPr>
        <w:t>02.11.2023 №38 «Об утверждении Положения о муниципальном земельном контроле на территории Кирил</w:t>
      </w:r>
      <w:r>
        <w:rPr>
          <w:sz w:val="26"/>
        </w:rPr>
        <w:t>ловского муниципального округа»</w:t>
      </w:r>
      <w:r>
        <w:rPr>
          <w:sz w:val="26"/>
        </w:rPr>
        <w:t xml:space="preserve"> </w:t>
      </w:r>
      <w:r>
        <w:rPr>
          <w:sz w:val="25"/>
        </w:rPr>
        <w:t xml:space="preserve">администрация округа  </w:t>
      </w:r>
    </w:p>
    <w:p w14:paraId="17000000">
      <w:pPr>
        <w:tabs>
          <w:tab w:leader="none" w:pos="709" w:val="left"/>
        </w:tabs>
        <w:ind/>
        <w:jc w:val="both"/>
        <w:rPr>
          <w:b w:val="1"/>
          <w:sz w:val="25"/>
        </w:rPr>
      </w:pPr>
      <w:r>
        <w:rPr>
          <w:b w:val="1"/>
          <w:sz w:val="25"/>
        </w:rPr>
        <w:t>ПОСТАНОВЛЯЕТ:</w:t>
      </w:r>
    </w:p>
    <w:p w14:paraId="18000000">
      <w:pPr>
        <w:tabs>
          <w:tab w:leader="none" w:pos="709" w:val="left"/>
        </w:tabs>
        <w:ind/>
        <w:jc w:val="both"/>
        <w:rPr>
          <w:sz w:val="25"/>
        </w:rPr>
      </w:pPr>
    </w:p>
    <w:p w14:paraId="19000000">
      <w:pPr>
        <w:pStyle w:val="Style_6"/>
        <w:ind w:firstLine="708" w:left="0"/>
        <w:rPr>
          <w:sz w:val="26"/>
        </w:rPr>
      </w:pPr>
      <w:r>
        <w:rPr>
          <w:sz w:val="26"/>
        </w:rPr>
        <w:t>1.Утвердить программу «Профилактика рисков причинения вреда (ущерба) охраняемым законом ценностям по муниципальному земельному контролю на территории Кирилловского муниципального округа» на 2026 год» согласно приложению.</w:t>
      </w:r>
    </w:p>
    <w:p w14:paraId="1A000000">
      <w:pPr>
        <w:pStyle w:val="Style_6"/>
        <w:ind w:firstLine="708" w:left="0"/>
        <w:rPr>
          <w:sz w:val="26"/>
        </w:rPr>
      </w:pPr>
      <w:r>
        <w:rPr>
          <w:sz w:val="26"/>
        </w:rPr>
        <w:t xml:space="preserve">2. Признать утратившим силу с 1 января 2026 года постановление администрации Кирилловского муниципального района </w:t>
      </w:r>
      <w:r>
        <w:rPr>
          <w:sz w:val="26"/>
        </w:rPr>
        <w:t>от 12.12.2024 №2171 «Об утверждении программы «Профилактика рисков причинения вреда (ущерба) охраняемым законом ценностям по муниципальному земельному контролю на территории Кирилловско</w:t>
      </w:r>
      <w:r>
        <w:rPr>
          <w:sz w:val="26"/>
        </w:rPr>
        <w:t>го муниципального округа на 2025</w:t>
      </w:r>
      <w:r>
        <w:rPr>
          <w:sz w:val="26"/>
        </w:rPr>
        <w:t xml:space="preserve"> год».</w:t>
      </w:r>
    </w:p>
    <w:p w14:paraId="1B000000">
      <w:pPr>
        <w:ind w:firstLine="708" w:left="0"/>
        <w:jc w:val="both"/>
        <w:rPr>
          <w:sz w:val="26"/>
        </w:rPr>
      </w:pPr>
      <w:r>
        <w:rPr>
          <w:sz w:val="26"/>
        </w:rPr>
        <w:t>3. Настоящее постановление подлежит размещению на сайте Кирилловского муниципального округа в информационно-телекоммуникационной сети «Интернет» в течение 5 дней со дня его принятия.</w:t>
      </w:r>
    </w:p>
    <w:p w14:paraId="1C000000">
      <w:pPr>
        <w:widowControl w:val="0"/>
        <w:ind/>
        <w:jc w:val="both"/>
        <w:rPr>
          <w:sz w:val="26"/>
        </w:rPr>
      </w:pPr>
    </w:p>
    <w:p w14:paraId="1D000000">
      <w:pPr>
        <w:tabs>
          <w:tab w:leader="none" w:pos="284" w:val="left"/>
        </w:tabs>
        <w:ind/>
        <w:jc w:val="both"/>
        <w:rPr>
          <w:sz w:val="26"/>
        </w:rPr>
      </w:pPr>
    </w:p>
    <w:p w14:paraId="1E000000">
      <w:pPr>
        <w:tabs>
          <w:tab w:leader="none" w:pos="284" w:val="left"/>
        </w:tabs>
        <w:ind/>
        <w:jc w:val="both"/>
        <w:rPr>
          <w:sz w:val="26"/>
        </w:rPr>
      </w:pPr>
    </w:p>
    <w:p w14:paraId="1F000000">
      <w:pPr>
        <w:tabs>
          <w:tab w:leader="none" w:pos="284" w:val="left"/>
        </w:tabs>
        <w:ind/>
        <w:jc w:val="both"/>
        <w:rPr>
          <w:sz w:val="26"/>
        </w:rPr>
      </w:pPr>
    </w:p>
    <w:p w14:paraId="20000000">
      <w:pPr>
        <w:tabs>
          <w:tab w:leader="none" w:pos="284" w:val="left"/>
        </w:tabs>
        <w:ind/>
        <w:jc w:val="both"/>
        <w:rPr>
          <w:sz w:val="26"/>
        </w:rPr>
      </w:pPr>
      <w:r>
        <w:rPr>
          <w:sz w:val="26"/>
        </w:rPr>
        <w:t>Заместитель главы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                                                 </w:t>
      </w:r>
      <w:r>
        <w:rPr>
          <w:sz w:val="26"/>
        </w:rPr>
        <w:t>А.В. Юлин</w:t>
      </w:r>
      <w:r>
        <w:rPr>
          <w:sz w:val="26"/>
        </w:rPr>
        <w:t xml:space="preserve"> </w:t>
      </w:r>
    </w:p>
    <w:p w14:paraId="21000000">
      <w:pPr>
        <w:tabs>
          <w:tab w:leader="none" w:pos="284" w:val="left"/>
        </w:tabs>
        <w:ind/>
        <w:jc w:val="both"/>
        <w:rPr>
          <w:sz w:val="26"/>
        </w:rPr>
      </w:pPr>
    </w:p>
    <w:p w14:paraId="22000000">
      <w:pPr>
        <w:tabs>
          <w:tab w:leader="none" w:pos="284" w:val="left"/>
        </w:tabs>
        <w:ind/>
        <w:jc w:val="both"/>
        <w:rPr>
          <w:sz w:val="26"/>
        </w:rPr>
      </w:pPr>
    </w:p>
    <w:p w14:paraId="23000000">
      <w:pPr>
        <w:tabs>
          <w:tab w:leader="none" w:pos="284" w:val="left"/>
        </w:tabs>
        <w:ind/>
        <w:jc w:val="both"/>
        <w:rPr>
          <w:sz w:val="26"/>
        </w:rPr>
      </w:pPr>
    </w:p>
    <w:p w14:paraId="24000000">
      <w:pPr>
        <w:tabs>
          <w:tab w:leader="none" w:pos="284" w:val="left"/>
        </w:tabs>
        <w:ind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Приложение к постановлению </w:t>
      </w:r>
    </w:p>
    <w:p w14:paraId="25000000">
      <w:pPr>
        <w:tabs>
          <w:tab w:leader="none" w:pos="284" w:val="left"/>
        </w:tabs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администрации округа </w:t>
      </w:r>
    </w:p>
    <w:p w14:paraId="26000000">
      <w:pPr>
        <w:tabs>
          <w:tab w:leader="none" w:pos="284" w:val="left"/>
        </w:tabs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от ________________ №_____</w:t>
      </w:r>
    </w:p>
    <w:p w14:paraId="27000000">
      <w:pPr>
        <w:tabs>
          <w:tab w:leader="none" w:pos="284" w:val="left"/>
        </w:tabs>
        <w:ind/>
        <w:jc w:val="both"/>
        <w:rPr>
          <w:sz w:val="26"/>
        </w:rPr>
      </w:pPr>
    </w:p>
    <w:p w14:paraId="28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ПРОГРАММА </w:t>
      </w:r>
    </w:p>
    <w:p w14:paraId="29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профилактики рисков причинения вреда (ущерба) охраняемым законом </w:t>
      </w:r>
    </w:p>
    <w:p w14:paraId="2A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ценностям по муниципальному земельному контролю </w:t>
      </w:r>
    </w:p>
    <w:p w14:paraId="2B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на территории Кирилловского муниципального округа на 2026 год</w:t>
      </w:r>
    </w:p>
    <w:p w14:paraId="2C000000">
      <w:pPr>
        <w:ind/>
        <w:jc w:val="center"/>
        <w:rPr>
          <w:b w:val="1"/>
          <w:sz w:val="26"/>
        </w:rPr>
      </w:pPr>
    </w:p>
    <w:p w14:paraId="2D000000">
      <w:pPr>
        <w:ind/>
        <w:jc w:val="center"/>
        <w:outlineLvl w:val="1"/>
        <w:rPr>
          <w:b w:val="1"/>
          <w:sz w:val="26"/>
        </w:rPr>
      </w:pPr>
      <w:r>
        <w:rPr>
          <w:b w:val="1"/>
          <w:sz w:val="26"/>
        </w:rPr>
        <w:t xml:space="preserve">Раздел I. </w:t>
      </w:r>
    </w:p>
    <w:p w14:paraId="2E000000">
      <w:pPr>
        <w:ind/>
        <w:jc w:val="center"/>
        <w:outlineLvl w:val="1"/>
        <w:rPr>
          <w:b w:val="1"/>
          <w:sz w:val="26"/>
        </w:rPr>
      </w:pPr>
      <w:r>
        <w:rPr>
          <w:b w:val="1"/>
          <w:sz w:val="26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2F000000">
      <w:pPr>
        <w:ind/>
        <w:jc w:val="center"/>
        <w:outlineLvl w:val="1"/>
        <w:rPr>
          <w:b w:val="1"/>
          <w:sz w:val="26"/>
        </w:rPr>
      </w:pPr>
    </w:p>
    <w:p w14:paraId="30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Органом администрации Кирилловского муниципального округа, осуществляющим муниципальный земельный контроль, является комитет по управлению имуществом администрации округа (далее – Комитет). </w:t>
      </w:r>
    </w:p>
    <w:p w14:paraId="31000000">
      <w:pPr>
        <w:ind w:firstLine="708" w:left="0"/>
        <w:jc w:val="both"/>
        <w:rPr>
          <w:sz w:val="26"/>
        </w:rPr>
      </w:pPr>
      <w:r>
        <w:rPr>
          <w:sz w:val="26"/>
        </w:rPr>
        <w:t>Предметом муниципального земельного контроля является соблюдение юридическими лицами, индивидуальными предпринимателями и гражданами обязательных требований земельного законодательства.</w:t>
      </w:r>
    </w:p>
    <w:p w14:paraId="32000000">
      <w:pPr>
        <w:ind w:firstLine="708" w:left="0"/>
        <w:jc w:val="both"/>
        <w:rPr>
          <w:sz w:val="26"/>
        </w:rPr>
      </w:pPr>
      <w:r>
        <w:rPr>
          <w:sz w:val="26"/>
        </w:rPr>
        <w:t>Осуществление муниципального земельного контроля регулируется Федера</w:t>
      </w:r>
      <w:r>
        <w:rPr>
          <w:sz w:val="26"/>
        </w:rPr>
        <w:t>льным законом от 31 июля 2020 года</w:t>
      </w:r>
      <w:r>
        <w:rPr>
          <w:sz w:val="26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248-ФЗ),</w:t>
      </w:r>
      <w:r>
        <w:rPr>
          <w:sz w:val="26"/>
        </w:rPr>
        <w:t xml:space="preserve"> решением Представительного Собрания Кирилловского муниципального округа от 02.11.2023 №38 «Об утверждении Положения о муниципальном земельном контроле на территории Кирилловского муниципального округа».</w:t>
      </w:r>
    </w:p>
    <w:p w14:paraId="33000000">
      <w:pPr>
        <w:ind w:firstLine="708" w:left="0"/>
        <w:jc w:val="both"/>
        <w:rPr>
          <w:sz w:val="26"/>
        </w:rPr>
      </w:pPr>
      <w:r>
        <w:rPr>
          <w:sz w:val="26"/>
        </w:rPr>
        <w:t>Информация об указанных нормативных правовых актах опубликована на официальном сайте Кирилловского муниципального округа в информационной телекоммуникационной сети «Интернет»:</w:t>
      </w:r>
      <w:r>
        <w:rPr>
          <w:sz w:val="28"/>
        </w:rPr>
        <w:t xml:space="preserve"> 35kirillovskij.gosuslugi.ru.</w:t>
      </w:r>
    </w:p>
    <w:p w14:paraId="34000000">
      <w:pPr>
        <w:ind w:firstLine="708" w:left="0"/>
        <w:jc w:val="both"/>
        <w:rPr>
          <w:sz w:val="26"/>
        </w:rPr>
      </w:pPr>
      <w:bookmarkStart w:id="1" w:name="_GoBack"/>
      <w:r>
        <w:rPr>
          <w:sz w:val="26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 (далее – Программа) разработана в соответствии с разделом IV Федерального закона № 248-ФЗ и постановлением Пра</w:t>
      </w:r>
      <w:r>
        <w:rPr>
          <w:sz w:val="26"/>
        </w:rPr>
        <w:t>вительства РФ от 25 июня 2021 года</w:t>
      </w:r>
      <w:r>
        <w:rPr>
          <w:sz w:val="26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t xml:space="preserve"> </w:t>
      </w:r>
      <w:r>
        <w:rPr>
          <w:sz w:val="26"/>
        </w:rPr>
        <w:t xml:space="preserve"> </w:t>
      </w:r>
      <w:bookmarkEnd w:id="1"/>
      <w:r>
        <w:rPr>
          <w:sz w:val="26"/>
        </w:rPr>
        <w:t xml:space="preserve">и </w:t>
      </w:r>
      <w:r>
        <w:rPr>
          <w:sz w:val="26"/>
        </w:rPr>
        <w:t>утверждена постановлением администрации Кирилловского муниципального округа о</w:t>
      </w:r>
      <w:r>
        <w:rPr>
          <w:sz w:val="26"/>
        </w:rPr>
        <w:t>т 12 декабря 2024 года</w:t>
      </w:r>
      <w:r>
        <w:rPr>
          <w:sz w:val="26"/>
        </w:rPr>
        <w:t xml:space="preserve"> № 2171.</w:t>
      </w:r>
    </w:p>
    <w:p w14:paraId="35000000">
      <w:pPr>
        <w:ind w:firstLine="708" w:left="0"/>
        <w:jc w:val="both"/>
        <w:rPr>
          <w:sz w:val="26"/>
        </w:rPr>
      </w:pPr>
      <w:r>
        <w:rPr>
          <w:sz w:val="26"/>
        </w:rPr>
        <w:t>На основании постановления Прав</w:t>
      </w:r>
      <w:r>
        <w:rPr>
          <w:sz w:val="26"/>
        </w:rPr>
        <w:t>ительства РФ от 10 марта 2022 года</w:t>
      </w:r>
      <w:r>
        <w:rPr>
          <w:sz w:val="26"/>
        </w:rPr>
        <w:t xml:space="preserve"> № 336 "Об особенностях организации и осуществления государственного контроля (надзора), муниципального контроля" в 2025 году не проводились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"О государственном контроле (надзоре) и муниципальном контроле в Российской Федерации" и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14:paraId="36000000">
      <w:pPr>
        <w:ind w:firstLine="708" w:left="0"/>
        <w:jc w:val="both"/>
        <w:rPr>
          <w:sz w:val="26"/>
        </w:rPr>
      </w:pPr>
      <w:r>
        <w:rPr>
          <w:sz w:val="26"/>
        </w:rPr>
        <w:t>Вместе с тем, согласно пункту 10 постановления Правительст</w:t>
      </w:r>
      <w:r>
        <w:rPr>
          <w:sz w:val="26"/>
        </w:rPr>
        <w:t>ва РФ от 10 марта 2022 года</w:t>
      </w:r>
      <w:r>
        <w:rPr>
          <w:sz w:val="26"/>
        </w:rPr>
        <w:t xml:space="preserve"> № 336 "Об особенностях организации и осуществления государственного контроля (надзора), муниципального контроля"</w:t>
      </w:r>
      <w:r>
        <w:t xml:space="preserve"> </w:t>
      </w:r>
      <w:r>
        <w:rPr>
          <w:sz w:val="26"/>
        </w:rPr>
        <w:t>допускалось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 в отношении контролируемых лиц, данные мероприятия не требовали согласования с органами прокуратуры.</w:t>
      </w:r>
    </w:p>
    <w:p w14:paraId="37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Таким образом в 2025 году Комитетом не проводилось контрольно-надзорных мероприятий со взаимодействием с контролируемым лицом, а было проведено </w:t>
      </w:r>
      <w:r>
        <w:rPr>
          <w:sz w:val="26"/>
        </w:rPr>
        <w:t xml:space="preserve">67 </w:t>
      </w:r>
      <w:r>
        <w:rPr>
          <w:sz w:val="26"/>
        </w:rPr>
        <w:t xml:space="preserve">контрольно-надзорных мероприятий без взаимодействия с контролируемым лицом в форме выездного обследования в отношении земель сельскохозяйственного назначения, </w:t>
      </w:r>
      <w:r>
        <w:rPr>
          <w:sz w:val="26"/>
        </w:rPr>
        <w:t xml:space="preserve">выявлено 60 нарушений обязательных требований, от двух земельных участков собственники отказались в добровольном порядке, в отношении правообладателей 58 земельных участков вынесены предостережения, при проверке исполнения вынесенных предостережений в отношении одного выявлено проведение работ по очистке от древесно-кустарниковой растительности и проведено дискование. </w:t>
      </w:r>
    </w:p>
    <w:p w14:paraId="38000000">
      <w:pPr>
        <w:ind w:firstLine="708" w:left="0"/>
        <w:jc w:val="both"/>
        <w:rPr>
          <w:sz w:val="26"/>
        </w:rPr>
      </w:pPr>
      <w:r>
        <w:rPr>
          <w:sz w:val="26"/>
        </w:rPr>
        <w:t>В целях предотвращения нарушений в течение всего 2025 года проводились следующие профилактические мероприятия:</w:t>
      </w:r>
    </w:p>
    <w:p w14:paraId="39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размещение и актуализация на официальном сайте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</w:t>
      </w:r>
      <w:r>
        <w:rPr>
          <w:sz w:val="26"/>
        </w:rPr>
        <w:t>текстов</w:t>
      </w:r>
      <w:r>
        <w:rPr>
          <w:sz w:val="26"/>
        </w:rPr>
        <w:t xml:space="preserve"> соответствующих нормативных правовых актов, сведения об изменениях, внесенных в нормативные правовые акты; </w:t>
      </w:r>
    </w:p>
    <w:p w14:paraId="3A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информирование контролируемых лиц по вопросам соблюдения обязательных требований (посредством размещения публикаций на официальном сайте); </w:t>
      </w:r>
    </w:p>
    <w:p w14:paraId="3B000000">
      <w:pPr>
        <w:ind w:firstLine="708" w:left="0"/>
        <w:jc w:val="both"/>
        <w:rPr>
          <w:sz w:val="26"/>
        </w:rPr>
      </w:pPr>
      <w:r>
        <w:rPr>
          <w:sz w:val="26"/>
        </w:rPr>
        <w:t>консультирование по вопросам, связанным с организацией и осуществлением муниципального земельного контроля.</w:t>
      </w:r>
    </w:p>
    <w:p w14:paraId="3C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По результатам осуществления муниципального земельного контроля в 2025 году, наиболее значимыми проблемами являются: </w:t>
      </w:r>
    </w:p>
    <w:p w14:paraId="3D000000">
      <w:pPr>
        <w:ind w:firstLine="708" w:left="0"/>
        <w:jc w:val="both"/>
        <w:outlineLvl w:val="1"/>
        <w:rPr>
          <w:sz w:val="26"/>
        </w:rPr>
      </w:pPr>
      <w:r>
        <w:rPr>
          <w:sz w:val="26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14:paraId="3E000000">
      <w:pPr>
        <w:ind w:firstLine="708" w:left="0"/>
        <w:jc w:val="both"/>
        <w:outlineLvl w:val="1"/>
        <w:rPr>
          <w:sz w:val="26"/>
        </w:rPr>
      </w:pPr>
      <w:r>
        <w:rPr>
          <w:sz w:val="26"/>
        </w:rPr>
        <w:t>Решением данной проблемы является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14:paraId="3F000000">
      <w:pPr>
        <w:ind w:firstLine="708" w:left="0"/>
        <w:jc w:val="both"/>
        <w:outlineLvl w:val="1"/>
        <w:rPr>
          <w:sz w:val="26"/>
        </w:rPr>
      </w:pPr>
      <w:r>
        <w:rPr>
          <w:sz w:val="26"/>
        </w:rPr>
        <w:t>2. Сознательное бездействие правообладателей земельных участков. Правообладатели земельных участков помимо прав на земельные участки имеют и обязанности по их оформлению в соответствии с законодательством, а также поддержанию их в пригодном состоянии, в соответствии с видом разрешенного использования. Проблема заключается в том, что в силу различных причин (возраст, состояние здоровья, финансовая ситуация или обычное бездействие) правообладатели допускают нарушения обязательных требований. Выявить таких правообладателей и провести с ними профилактические мероприятия, как правило, возможно только при проведении контрольно-надзорных мероприятий.</w:t>
      </w:r>
    </w:p>
    <w:p w14:paraId="40000000">
      <w:pPr>
        <w:ind w:firstLine="708" w:left="0"/>
        <w:jc w:val="both"/>
        <w:outlineLvl w:val="1"/>
        <w:rPr>
          <w:sz w:val="26"/>
        </w:rPr>
      </w:pPr>
      <w:r>
        <w:rPr>
          <w:sz w:val="26"/>
        </w:rPr>
        <w:t>В качестве решения данной проблемы может быть организация профилактической работы (мероприятий) с правообладателями земельных участков при оценке достоверности сведений, полученных в сообщениях и заявлениях от граждан, СМИ, организаций или органов власти, указывающие на нарушения обязательных требований законодательства, предъявляемым к охраняемым законом ценностям.</w:t>
      </w:r>
    </w:p>
    <w:p w14:paraId="41000000">
      <w:pPr>
        <w:ind w:firstLine="708" w:left="0"/>
        <w:jc w:val="both"/>
        <w:outlineLvl w:val="1"/>
        <w:rPr>
          <w:sz w:val="26"/>
        </w:rPr>
      </w:pPr>
    </w:p>
    <w:p w14:paraId="42000000">
      <w:pPr>
        <w:ind/>
        <w:jc w:val="center"/>
        <w:outlineLvl w:val="1"/>
        <w:rPr>
          <w:b w:val="1"/>
          <w:sz w:val="26"/>
        </w:rPr>
      </w:pPr>
      <w:r>
        <w:rPr>
          <w:b w:val="1"/>
          <w:sz w:val="26"/>
        </w:rPr>
        <w:t>Раздел II.</w:t>
      </w:r>
    </w:p>
    <w:p w14:paraId="43000000">
      <w:pPr>
        <w:ind/>
        <w:jc w:val="center"/>
        <w:outlineLvl w:val="1"/>
        <w:rPr>
          <w:b w:val="1"/>
          <w:sz w:val="26"/>
        </w:rPr>
      </w:pPr>
      <w:r>
        <w:rPr>
          <w:b w:val="1"/>
          <w:sz w:val="26"/>
        </w:rPr>
        <w:t xml:space="preserve"> Цели и задачи реализации программы профилактики рисков причинения вреда</w:t>
      </w:r>
    </w:p>
    <w:p w14:paraId="44000000">
      <w:pPr>
        <w:ind/>
        <w:jc w:val="both"/>
        <w:rPr>
          <w:b w:val="1"/>
          <w:sz w:val="26"/>
        </w:rPr>
      </w:pPr>
    </w:p>
    <w:p w14:paraId="45000000">
      <w:pPr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Цели разработки Программы и проведение профилактической работы:</w:t>
      </w:r>
    </w:p>
    <w:p w14:paraId="46000000">
      <w:pPr>
        <w:ind w:firstLine="0" w:left="59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-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14:paraId="47000000">
      <w:pPr>
        <w:ind w:firstLine="0" w:left="59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- повышение прозрачности системы муниципального контроля;</w:t>
      </w:r>
    </w:p>
    <w:p w14:paraId="48000000">
      <w:pPr>
        <w:ind w:firstLine="0" w:left="59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14:paraId="49000000">
      <w:pPr>
        <w:ind w:firstLine="0" w:left="59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14:paraId="4A000000">
      <w:pPr>
        <w:ind w:firstLine="0" w:left="59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- мотивация подконтрольных субъектов к добросовестному поведению.</w:t>
      </w:r>
    </w:p>
    <w:p w14:paraId="4B000000">
      <w:pPr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Проведение профилактических мероприятий Программы позволяет решить следующие задачи:</w:t>
      </w:r>
    </w:p>
    <w:p w14:paraId="4C000000">
      <w:pPr>
        <w:ind w:firstLine="0" w:left="59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4D000000">
      <w:pPr>
        <w:ind w:firstLine="0" w:left="59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4E000000">
      <w:pPr>
        <w:ind w:firstLine="0" w:left="59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14:paraId="4F000000">
      <w:pPr>
        <w:ind w:firstLine="0" w:left="59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- определение перечня видов и сбор статистических данных, необходимых для организации профилактической работы;</w:t>
      </w:r>
    </w:p>
    <w:p w14:paraId="50000000">
      <w:pPr>
        <w:ind w:firstLine="0" w:left="59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- повышение квалификации кадрового состава контрольно-надзорного органа;</w:t>
      </w:r>
    </w:p>
    <w:p w14:paraId="51000000">
      <w:pPr>
        <w:ind w:firstLine="0" w:left="59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- снижение уровня административной нагрузки на организации и граждан, осуществляющих предпринимательскую деятельность;</w:t>
      </w:r>
    </w:p>
    <w:p w14:paraId="52000000">
      <w:pPr>
        <w:ind w:firstLine="0" w:left="59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14:paraId="53000000">
      <w:pPr>
        <w:ind w:firstLine="0" w:left="59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- другие задачи в зависимости от выявленных проблем в регулируемой сфере и текущего состояния профилактической работы.</w:t>
      </w:r>
    </w:p>
    <w:p w14:paraId="54000000">
      <w:pPr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Сроки реализации Программы приведены в перечне основных профилактических мероприятий на 2026 год.</w:t>
      </w:r>
    </w:p>
    <w:p w14:paraId="55000000">
      <w:pPr>
        <w:ind/>
        <w:jc w:val="both"/>
        <w:rPr>
          <w:b w:val="1"/>
          <w:sz w:val="26"/>
        </w:rPr>
      </w:pPr>
    </w:p>
    <w:p w14:paraId="56000000">
      <w:pPr>
        <w:ind/>
        <w:jc w:val="center"/>
        <w:outlineLvl w:val="1"/>
        <w:rPr>
          <w:b w:val="1"/>
          <w:sz w:val="26"/>
        </w:rPr>
      </w:pPr>
      <w:r>
        <w:rPr>
          <w:b w:val="1"/>
          <w:sz w:val="26"/>
        </w:rPr>
        <w:t>Раздел III.</w:t>
      </w:r>
    </w:p>
    <w:p w14:paraId="57000000">
      <w:pPr>
        <w:ind/>
        <w:jc w:val="center"/>
        <w:outlineLvl w:val="1"/>
        <w:rPr>
          <w:b w:val="1"/>
          <w:sz w:val="26"/>
        </w:rPr>
      </w:pPr>
      <w:r>
        <w:rPr>
          <w:b w:val="1"/>
          <w:sz w:val="26"/>
        </w:rPr>
        <w:t xml:space="preserve">Перечень профилактических мероприятий, </w:t>
      </w:r>
    </w:p>
    <w:p w14:paraId="58000000">
      <w:pPr>
        <w:ind/>
        <w:jc w:val="center"/>
        <w:outlineLvl w:val="1"/>
        <w:rPr>
          <w:b w:val="1"/>
          <w:sz w:val="26"/>
        </w:rPr>
      </w:pPr>
      <w:r>
        <w:rPr>
          <w:b w:val="1"/>
          <w:sz w:val="26"/>
        </w:rPr>
        <w:t>сроки (периодичность) их проведения</w:t>
      </w:r>
    </w:p>
    <w:p w14:paraId="59000000">
      <w:pPr>
        <w:ind/>
        <w:contextualSpacing w:val="1"/>
        <w:jc w:val="both"/>
        <w:rPr>
          <w:b w:val="1"/>
          <w:sz w:val="26"/>
        </w:rPr>
      </w:pPr>
    </w:p>
    <w:p w14:paraId="5A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14:paraId="5B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Перечень основных профилактических мероприятий Программы на 2026 год приведен в таблице 1. </w:t>
      </w:r>
    </w:p>
    <w:p w14:paraId="5C000000">
      <w:pPr>
        <w:ind/>
        <w:jc w:val="both"/>
      </w:pPr>
      <w:r>
        <w:rPr>
          <w:sz w:val="28"/>
        </w:rPr>
        <w:t xml:space="preserve">                                                                                                                            </w:t>
      </w:r>
      <w:r>
        <w:t>Таблица 1</w:t>
      </w:r>
    </w:p>
    <w:tbl>
      <w:tblPr>
        <w:tblStyle w:val="Style_4"/>
        <w:tblInd w:type="dxa" w:w="6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20"/>
        <w:gridCol w:w="4320"/>
        <w:gridCol w:w="2190"/>
        <w:gridCol w:w="2409"/>
      </w:tblGrid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00000">
            <w:pPr>
              <w:ind/>
              <w:jc w:val="both"/>
            </w:pPr>
            <w:r>
              <w:t>№ п/п</w:t>
            </w:r>
          </w:p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00000">
            <w:pPr>
              <w:ind/>
              <w:jc w:val="both"/>
            </w:pPr>
            <w:r>
              <w:t>Профилактические мероприятия</w:t>
            </w:r>
          </w:p>
          <w:p w14:paraId="5F000000">
            <w:pPr>
              <w:ind/>
              <w:jc w:val="both"/>
            </w:pP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00000">
            <w:pPr>
              <w:ind/>
              <w:jc w:val="both"/>
            </w:pPr>
            <w:r>
              <w:t>Периодичность проведения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00000">
            <w:pPr>
              <w:ind/>
              <w:jc w:val="both"/>
            </w:pPr>
            <w:r>
              <w:t>Адресат мероприятия</w:t>
            </w:r>
          </w:p>
        </w:tc>
      </w:tr>
    </w:tbl>
    <w:p w14:paraId="62000000">
      <w:pPr>
        <w:ind/>
        <w:jc w:val="both"/>
        <w:rPr>
          <w:sz w:val="2"/>
        </w:rPr>
      </w:pPr>
    </w:p>
    <w:tbl>
      <w:tblPr>
        <w:tblStyle w:val="Style_4"/>
        <w:tblInd w:type="dxa" w:w="6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20"/>
        <w:gridCol w:w="4320"/>
        <w:gridCol w:w="2190"/>
        <w:gridCol w:w="2409"/>
      </w:tblGrid>
      <w:tr>
        <w:trPr>
          <w:trHeight w:hRule="atLeast" w:val="28"/>
          <w:tblHeader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00000">
            <w:pPr>
              <w:ind/>
              <w:jc w:val="center"/>
            </w:pPr>
            <w:r>
              <w:t>1</w:t>
            </w:r>
          </w:p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00000">
            <w:pPr>
              <w:ind/>
              <w:jc w:val="center"/>
            </w:pPr>
            <w:r>
              <w:t>2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00000">
            <w:pPr>
              <w:ind/>
              <w:jc w:val="center"/>
            </w:pPr>
            <w:r>
              <w:t>3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00000">
            <w:pPr>
              <w:ind/>
              <w:jc w:val="center"/>
            </w:pPr>
            <w:r>
              <w:t>4</w:t>
            </w:r>
          </w:p>
        </w:tc>
      </w:tr>
      <w:t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ind/>
              <w:jc w:val="both"/>
            </w:pPr>
            <w:r>
              <w:t>1.</w:t>
            </w:r>
          </w:p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ind/>
              <w:jc w:val="both"/>
            </w:pPr>
            <w:r>
              <w:t>Размещение на официальном сайте  Кирилловского муниципального округа актуальной информации: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ind/>
              <w:jc w:val="both"/>
            </w:pPr>
          </w:p>
        </w:tc>
        <w:tc>
          <w:tcPr>
            <w:tcW w:type="dxa" w:w="24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ind/>
              <w:jc w:val="both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ind/>
              <w:jc w:val="both"/>
            </w:pPr>
            <w: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ind/>
              <w:jc w:val="both"/>
            </w:pPr>
            <w:r>
              <w:t>Постоянно в течении года</w:t>
            </w:r>
          </w:p>
        </w:tc>
        <w:tc>
          <w:tcPr>
            <w:tcW w:type="dxa" w:w="2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ind/>
              <w:jc w:val="both"/>
            </w:pPr>
            <w: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ind/>
              <w:jc w:val="both"/>
            </w:pPr>
            <w:r>
              <w:t>Постоянно в течение года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ind/>
              <w:jc w:val="both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ind/>
              <w:jc w:val="both"/>
            </w:pPr>
            <w:r>
              <w:fldChar w:fldCharType="begin"/>
            </w:r>
            <w:r>
              <w:instrText>HYPERLINK "https://login.consultant.ru/link/?req=doc&amp;base=LAW&amp;n=213122&amp;date=12.08.2021"</w:instrText>
            </w:r>
            <w:r>
              <w:fldChar w:fldCharType="separate"/>
            </w:r>
            <w:r>
              <w:t>перечень</w:t>
            </w:r>
            <w:r>
              <w:fldChar w:fldCharType="end"/>
            </w:r>
            <w: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ind/>
              <w:jc w:val="both"/>
            </w:pPr>
            <w:r>
              <w:t>Постоянно в течение года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ind/>
              <w:jc w:val="both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>
          <w:trHeight w:hRule="atLeast" w:val="1327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ind/>
              <w:jc w:val="both"/>
            </w:pPr>
            <w: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14:paraId="74000000">
            <w:pPr>
              <w:ind/>
              <w:jc w:val="both"/>
            </w:pP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ind/>
              <w:jc w:val="both"/>
            </w:pPr>
            <w:r>
              <w:t>не позднее 3 рабочих дней после утверждения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ind/>
              <w:jc w:val="both"/>
              <w:rPr>
                <w:color w:val="FF6600"/>
              </w:rPr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>
          <w:trHeight w:hRule="atLeast" w:val="1569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ind/>
              <w:jc w:val="both"/>
            </w:pPr>
            <w: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ind/>
              <w:jc w:val="both"/>
            </w:pPr>
            <w:r>
              <w:t>не позднее 10 рабочих дней после утверждения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ind/>
              <w:jc w:val="both"/>
              <w:rPr>
                <w:color w:val="FF6600"/>
              </w:rPr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>
          <w:trHeight w:hRule="atLeast" w:val="2216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ind/>
              <w:jc w:val="both"/>
            </w:pPr>
            <w: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ind/>
              <w:jc w:val="both"/>
            </w:pPr>
            <w:r>
              <w:t>Постоянно в течение года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ind/>
              <w:jc w:val="both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>
          <w:trHeight w:hRule="atLeast" w:val="1389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ind/>
              <w:jc w:val="both"/>
            </w:pPr>
            <w:r>
              <w:t>сведения о способах получения консультаций по вопросам соблюдения обязательных требований;</w:t>
            </w:r>
          </w:p>
          <w:p w14:paraId="7E000000">
            <w:pPr>
              <w:ind/>
              <w:jc w:val="both"/>
            </w:pP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ind/>
              <w:jc w:val="both"/>
            </w:pPr>
            <w:r>
              <w:t>Постоянно в течение года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ind/>
              <w:jc w:val="both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>
          <w:trHeight w:hRule="atLeast" w:val="1114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ind/>
              <w:jc w:val="both"/>
            </w:pPr>
            <w:r>
              <w:t>ежегодный доклад о муниципальном земельном контроле;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ind/>
              <w:jc w:val="both"/>
            </w:pPr>
            <w:r>
              <w:t>в срок до 3 дней со дня утверждения доклада (не позднее 15 марта 2026 г.)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ind/>
              <w:jc w:val="both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>
          <w:trHeight w:hRule="atLeast" w:val="1686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ind/>
              <w:jc w:val="both"/>
            </w:pPr>
            <w:r>
              <w:t>письменные разъяснения, подписанные уполномоченным должностным лицом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ind/>
              <w:jc w:val="both"/>
            </w:pPr>
            <w:r>
              <w:t>в случае осуществления консультирования по однотипным обращениям контролируемых лиц ежегодно, декабрь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ind/>
              <w:jc w:val="both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>
          <w:trHeight w:hRule="atLeast" w:val="2041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ind/>
              <w:jc w:val="both"/>
            </w:pPr>
            <w:r>
              <w:t xml:space="preserve">Программа профилактики на 2026 г. 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ind/>
              <w:jc w:val="both"/>
            </w:pPr>
            <w:r>
              <w:t xml:space="preserve">в течение 5 дней со дня утверждения 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ind/>
              <w:jc w:val="both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>
          <w:trHeight w:hRule="atLeast" w:val="240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ind/>
              <w:jc w:val="both"/>
            </w:pPr>
            <w: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14:paraId="8B000000">
            <w:pPr>
              <w:ind/>
              <w:jc w:val="both"/>
            </w:pPr>
          </w:p>
          <w:p w14:paraId="8C000000">
            <w:pPr>
              <w:ind/>
              <w:jc w:val="both"/>
            </w:pP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ind/>
              <w:jc w:val="both"/>
            </w:pPr>
            <w:r>
              <w:t xml:space="preserve">в течение 5 рабочих дней со дня их утверждения </w:t>
            </w:r>
          </w:p>
          <w:p w14:paraId="8E000000">
            <w:pPr>
              <w:ind/>
              <w:jc w:val="both"/>
            </w:pPr>
            <w:r>
              <w:t>(до 15 декабря года, предшествующего году реализации ежегодного плана)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ind/>
              <w:jc w:val="both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>
          <w:trHeight w:hRule="atLeast" w:val="1617"/>
        </w:trP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ind/>
              <w:jc w:val="both"/>
            </w:pPr>
            <w:r>
              <w:t>2.</w:t>
            </w:r>
          </w:p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ind/>
              <w:jc w:val="both"/>
            </w:pPr>
            <w: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ind/>
              <w:jc w:val="both"/>
            </w:pPr>
            <w:r>
              <w:t xml:space="preserve">Ежегодно, </w:t>
            </w:r>
          </w:p>
          <w:p w14:paraId="93000000">
            <w:pPr>
              <w:ind/>
              <w:jc w:val="both"/>
            </w:pPr>
            <w:r>
              <w:t>декабрь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ind/>
              <w:jc w:val="both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>
          <w:trHeight w:hRule="atLeast" w:val="1635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ind/>
              <w:jc w:val="both"/>
            </w:pPr>
            <w:r>
              <w:t xml:space="preserve">публикаций в средствах массовой информации 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ind/>
              <w:jc w:val="both"/>
            </w:pPr>
            <w:r>
              <w:t xml:space="preserve">Ежегодно, </w:t>
            </w:r>
          </w:p>
          <w:p w14:paraId="97000000">
            <w:pPr>
              <w:ind/>
              <w:jc w:val="both"/>
            </w:pPr>
            <w:r>
              <w:t>декабрь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ind/>
              <w:jc w:val="both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>
          <w:trHeight w:hRule="atLeast" w:val="63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ind/>
              <w:jc w:val="both"/>
            </w:pPr>
            <w:r>
              <w:t>публикаций на официальном сайте администрации Кирилловского муниципального округа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ind/>
              <w:jc w:val="both"/>
            </w:pPr>
            <w:r>
              <w:t xml:space="preserve">Ежегодно, </w:t>
            </w:r>
          </w:p>
          <w:p w14:paraId="9B000000">
            <w:pPr>
              <w:ind/>
              <w:jc w:val="both"/>
            </w:pPr>
            <w:r>
              <w:t>декабрь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ind/>
              <w:jc w:val="both"/>
            </w:pPr>
            <w:r>
              <w:t xml:space="preserve">Юридические лица, индивидуальные предприниматели, граждане, органы </w:t>
            </w:r>
            <w:r>
              <w:t>государственной власти, органы местного самоуправления</w:t>
            </w:r>
          </w:p>
        </w:tc>
      </w:tr>
      <w:tr>
        <w:trPr>
          <w:trHeight w:hRule="atLeast" w:val="2583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ind/>
              <w:jc w:val="both"/>
            </w:pPr>
            <w:r>
              <w:t>3.</w:t>
            </w:r>
          </w:p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ind/>
              <w:jc w:val="both"/>
            </w:pPr>
            <w:r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контрольного (надзорного) мероприятия)</w:t>
            </w:r>
          </w:p>
          <w:p w14:paraId="9F000000">
            <w:pPr>
              <w:ind/>
              <w:jc w:val="both"/>
            </w:pPr>
            <w: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r>
              <w:t>При обращении лица, нуждающегося в консультировании, в течение 30 дней со дня регистрации администрацией района письменного обращения, если более короткий срок не предусмотрен законодательством</w:t>
            </w:r>
          </w:p>
          <w:p w14:paraId="A1000000">
            <w:pPr>
              <w:ind/>
              <w:jc w:val="both"/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ind/>
              <w:jc w:val="both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>
          <w:trHeight w:hRule="atLeast" w:val="2569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ind/>
              <w:jc w:val="both"/>
            </w:pPr>
            <w:r>
              <w:t>4.</w:t>
            </w:r>
          </w:p>
          <w:p w14:paraId="A4000000"/>
          <w:p w14:paraId="A5000000"/>
          <w:p w14:paraId="A6000000"/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ind/>
              <w:jc w:val="both"/>
            </w:pPr>
            <w:r>
              <w:t>Объявление предостережения</w:t>
            </w:r>
          </w:p>
          <w:p w14:paraId="A8000000">
            <w:pPr>
              <w:ind/>
              <w:jc w:val="both"/>
            </w:pPr>
            <w:r>
              <w:t>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A9000000"/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r>
              <w:t>В течение года по мере появления оснований, предусмотренных законодательством</w:t>
            </w:r>
          </w:p>
          <w:p w14:paraId="AB000000"/>
          <w:p w14:paraId="AC000000"/>
          <w:p w14:paraId="AD000000"/>
          <w:p w14:paraId="AE000000"/>
          <w:p w14:paraId="AF000000"/>
          <w:p w14:paraId="B0000000"/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ind/>
              <w:jc w:val="both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  <w:p w14:paraId="B2000000"/>
          <w:p w14:paraId="B3000000"/>
        </w:tc>
      </w:tr>
      <w:tr>
        <w:trPr>
          <w:trHeight w:hRule="atLeast" w:val="1733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ind/>
              <w:jc w:val="both"/>
            </w:pPr>
            <w:r>
              <w:t xml:space="preserve">5. </w:t>
            </w:r>
          </w:p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ind/>
              <w:jc w:val="both"/>
            </w:pPr>
            <w:r>
              <w:t>Профилактический визит</w:t>
            </w:r>
          </w:p>
          <w:p w14:paraId="B6000000">
            <w:pPr>
              <w:ind/>
              <w:jc w:val="both"/>
            </w:pPr>
            <w: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контроля.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r>
              <w:t>Профилактические визиты подлежат проведению в течение года (при наличии оснований).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ind/>
              <w:jc w:val="both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>
        <w:trPr>
          <w:trHeight w:hRule="atLeast" w:val="188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ind/>
              <w:jc w:val="both"/>
            </w:pPr>
            <w:r>
              <w:t>6</w:t>
            </w:r>
            <w:r>
              <w:t>.</w:t>
            </w:r>
          </w:p>
        </w:tc>
        <w:tc>
          <w:tcPr>
            <w:tcW w:type="dxa" w:w="4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ind/>
              <w:jc w:val="both"/>
            </w:pPr>
            <w: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14:paraId="BB000000">
            <w:pPr>
              <w:ind/>
              <w:jc w:val="both"/>
            </w:pPr>
            <w:r>
              <w:t>Кирилловского муниципального округа на 2027 год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ind/>
              <w:jc w:val="both"/>
            </w:pPr>
            <w:r>
              <w:t xml:space="preserve">не позднее </w:t>
            </w:r>
          </w:p>
          <w:p w14:paraId="BD000000">
            <w:pPr>
              <w:ind/>
              <w:jc w:val="both"/>
            </w:pPr>
            <w:r>
              <w:t>20 декабря 2026 г.</w:t>
            </w:r>
          </w:p>
          <w:p w14:paraId="BE000000">
            <w:pPr>
              <w:ind/>
              <w:jc w:val="both"/>
            </w:pPr>
            <w:r>
              <w:t>(утверждение)</w:t>
            </w:r>
          </w:p>
          <w:p w14:paraId="BF000000">
            <w:pPr>
              <w:ind/>
              <w:jc w:val="both"/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ind/>
              <w:jc w:val="both"/>
            </w:pPr>
            <w: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14:paraId="C1000000">
      <w:pPr>
        <w:ind/>
        <w:jc w:val="both"/>
        <w:rPr>
          <w:b w:val="1"/>
          <w:sz w:val="26"/>
        </w:rPr>
      </w:pPr>
    </w:p>
    <w:p w14:paraId="C2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Раздел IV.</w:t>
      </w:r>
    </w:p>
    <w:p w14:paraId="C3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 Показатели результативности и эффективности </w:t>
      </w:r>
    </w:p>
    <w:p w14:paraId="C4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программы профилактики рисков причинения вреда</w:t>
      </w:r>
    </w:p>
    <w:p w14:paraId="C5000000">
      <w:pPr>
        <w:ind w:firstLine="709" w:left="0"/>
        <w:jc w:val="both"/>
        <w:rPr>
          <w:sz w:val="26"/>
        </w:rPr>
      </w:pPr>
    </w:p>
    <w:p w14:paraId="C6000000">
      <w:pPr>
        <w:pStyle w:val="Style_5"/>
        <w:ind w:firstLine="709" w:left="0"/>
        <w:contextualSpacing w:val="1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Для реализации программы финансирование не предусмотрено.</w:t>
      </w:r>
    </w:p>
    <w:p w14:paraId="C7000000">
      <w:pPr>
        <w:pStyle w:val="Style_5"/>
        <w:ind w:firstLine="709" w:left="0"/>
        <w:contextualSpacing w:val="1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Перечень уполномоченных лиц, ответственных за организацию и проведение профилактических мероприятий Программы на 2026 год приведен в </w:t>
      </w:r>
      <w:r>
        <w:rPr>
          <w:rFonts w:ascii="Times New Roman" w:hAnsi="Times New Roman"/>
          <w:b w:val="0"/>
          <w:sz w:val="26"/>
        </w:rPr>
        <w:t>таблице  2</w:t>
      </w:r>
      <w:r>
        <w:rPr>
          <w:rFonts w:ascii="Times New Roman" w:hAnsi="Times New Roman"/>
          <w:b w:val="0"/>
          <w:sz w:val="26"/>
        </w:rPr>
        <w:t xml:space="preserve">. </w:t>
      </w:r>
    </w:p>
    <w:p w14:paraId="C8000000">
      <w:pPr>
        <w:ind w:firstLine="709" w:left="0"/>
        <w:jc w:val="both"/>
        <w:rPr>
          <w:sz w:val="26"/>
        </w:rPr>
      </w:pPr>
      <w:r>
        <w:rPr>
          <w:sz w:val="26"/>
        </w:rPr>
        <w:t>Текущее управление и контроль за ходом реализации Программы осуществляет администрация Кирилловского муниципального округа. Ответственным исполнителем Программы является Комитет по управлению имуществом администрации Кирилловского муниципального округа.</w:t>
      </w:r>
    </w:p>
    <w:p w14:paraId="C9000000">
      <w:pPr>
        <w:ind w:firstLine="709" w:left="0"/>
        <w:jc w:val="both"/>
        <w:rPr>
          <w:sz w:val="26"/>
        </w:rPr>
      </w:pPr>
      <w:r>
        <w:rPr>
          <w:sz w:val="26"/>
        </w:rPr>
        <w:t>Мониторинг реализации Программы осуществляется на регулярной основе.</w:t>
      </w:r>
    </w:p>
    <w:p w14:paraId="CA000000">
      <w:pPr>
        <w:ind w:firstLine="709" w:left="0"/>
        <w:jc w:val="both"/>
        <w:rPr>
          <w:sz w:val="26"/>
        </w:rPr>
      </w:pPr>
      <w:r>
        <w:rPr>
          <w:sz w:val="26"/>
        </w:rPr>
        <w:t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</w:t>
      </w:r>
      <w:r>
        <w:rPr>
          <w:sz w:val="26"/>
        </w:rPr>
        <w:t xml:space="preserve"> </w:t>
      </w:r>
      <w:r>
        <w:rPr>
          <w:sz w:val="26"/>
        </w:rPr>
        <w:t xml:space="preserve">официальном сайте Кирилловского муниципального округа </w:t>
      </w:r>
      <w:r>
        <w:rPr>
          <w:sz w:val="28"/>
        </w:rPr>
        <w:t>35kirillovskij.gosuslugi.ru</w:t>
      </w:r>
      <w:r>
        <w:rPr>
          <w:sz w:val="27"/>
        </w:rPr>
        <w:t xml:space="preserve"> </w:t>
      </w:r>
      <w:r>
        <w:rPr>
          <w:sz w:val="26"/>
        </w:rPr>
        <w:t>в информационно-коммуникационной сети «Интернет».</w:t>
      </w:r>
    </w:p>
    <w:p w14:paraId="CB000000">
      <w:pPr>
        <w:ind w:firstLine="708" w:left="7788"/>
        <w:jc w:val="both"/>
      </w:pPr>
      <w:r>
        <w:t>Таблица 2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20"/>
        <w:gridCol w:w="2319"/>
        <w:gridCol w:w="2268"/>
        <w:gridCol w:w="1985"/>
        <w:gridCol w:w="2409"/>
      </w:tblGrid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00000">
            <w:pPr>
              <w:ind/>
              <w:jc w:val="both"/>
            </w:pPr>
            <w:r>
              <w:t>№ п/п</w:t>
            </w:r>
          </w:p>
        </w:tc>
        <w:tc>
          <w:tcPr>
            <w:tcW w:type="dxa" w:w="2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00000">
            <w:pPr>
              <w:ind/>
              <w:jc w:val="both"/>
            </w:pPr>
            <w:r>
              <w:t>ФИО</w:t>
            </w:r>
          </w:p>
          <w:p w14:paraId="CE000000">
            <w:pPr>
              <w:ind/>
              <w:jc w:val="both"/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F000000">
            <w:pPr>
              <w:ind/>
              <w:jc w:val="both"/>
            </w:pPr>
            <w:r>
              <w:t>Должность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000000">
            <w:pPr>
              <w:ind/>
              <w:jc w:val="both"/>
            </w:pPr>
            <w:r>
              <w:t>Функции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00000">
            <w:pPr>
              <w:ind/>
              <w:jc w:val="both"/>
            </w:pPr>
            <w:r>
              <w:t>Контакты</w:t>
            </w:r>
          </w:p>
        </w:tc>
      </w:tr>
    </w:tbl>
    <w:p w14:paraId="D2000000">
      <w:pPr>
        <w:ind/>
        <w:jc w:val="both"/>
        <w:rPr>
          <w:sz w:val="2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20"/>
        <w:gridCol w:w="2319"/>
        <w:gridCol w:w="2268"/>
        <w:gridCol w:w="1985"/>
        <w:gridCol w:w="2409"/>
      </w:tblGrid>
      <w:tr>
        <w:trPr>
          <w:trHeight w:hRule="atLeast" w:val="28"/>
          <w:tblHeader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3000000">
            <w:pPr>
              <w:ind/>
              <w:jc w:val="both"/>
            </w:pPr>
            <w:r>
              <w:t>1</w:t>
            </w:r>
          </w:p>
        </w:tc>
        <w:tc>
          <w:tcPr>
            <w:tcW w:type="dxa" w:w="2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4000000">
            <w:pPr>
              <w:ind/>
              <w:jc w:val="both"/>
            </w:pPr>
            <w:r>
              <w:t>Окунева Татьяна Александровна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00000">
            <w:pPr>
              <w:ind/>
              <w:jc w:val="both"/>
            </w:pPr>
            <w:r>
              <w:t xml:space="preserve">Председатель комитета по управлению имуществом администрации округа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00000">
            <w:pPr>
              <w:ind/>
              <w:jc w:val="both"/>
            </w:pPr>
            <w:r>
              <w:t>Организация и координация деятельности по реализации Программы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000000">
            <w:pPr>
              <w:ind/>
              <w:jc w:val="both"/>
            </w:pPr>
            <w:r>
              <w:t>8(817 57)3-26-85</w:t>
            </w:r>
          </w:p>
        </w:tc>
      </w:tr>
      <w:tr>
        <w:trPr>
          <w:trHeight w:hRule="atLeast" w:val="28"/>
          <w:tblHeader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000000">
            <w:pPr>
              <w:ind/>
              <w:jc w:val="both"/>
            </w:pPr>
            <w:r>
              <w:t>2</w:t>
            </w:r>
          </w:p>
        </w:tc>
        <w:tc>
          <w:tcPr>
            <w:tcW w:type="dxa" w:w="2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00000">
            <w:pPr>
              <w:ind/>
              <w:jc w:val="both"/>
            </w:pPr>
            <w:r>
              <w:t>Анисимова Ольга Алексеевна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00000">
            <w:pPr>
              <w:ind/>
              <w:jc w:val="both"/>
            </w:pPr>
            <w:r>
              <w:t>Главный специалист комитета по управлению имуществом администрации округа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00000">
            <w:pPr>
              <w:ind/>
              <w:jc w:val="both"/>
            </w:pPr>
            <w:r>
              <w:t>Организация и проведение мероприятий Программы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00000">
            <w:pPr>
              <w:ind/>
              <w:jc w:val="both"/>
            </w:pPr>
            <w:r>
              <w:t>8(817 57) 3-26-85</w:t>
            </w:r>
          </w:p>
          <w:p w14:paraId="DD000000">
            <w:pPr>
              <w:ind/>
              <w:jc w:val="both"/>
            </w:pPr>
            <w:r>
              <w:t>uprim_kir@mail.ru</w:t>
            </w:r>
          </w:p>
        </w:tc>
      </w:tr>
      <w:tr>
        <w:trPr>
          <w:trHeight w:hRule="atLeast" w:val="28"/>
          <w:tblHeader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00000">
            <w:pPr>
              <w:ind/>
              <w:jc w:val="both"/>
            </w:pPr>
            <w:r>
              <w:t>3</w:t>
            </w:r>
          </w:p>
        </w:tc>
        <w:tc>
          <w:tcPr>
            <w:tcW w:type="dxa" w:w="2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00000">
            <w:pPr>
              <w:ind/>
              <w:jc w:val="both"/>
            </w:pPr>
            <w:r>
              <w:t>Яковлева Елизавета Сергеевна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0000000">
            <w:pPr>
              <w:ind/>
              <w:jc w:val="both"/>
            </w:pPr>
            <w:r>
              <w:t>Главный специалист  комитета по управлению имуществом администрации округа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00000">
            <w:pPr>
              <w:ind/>
              <w:jc w:val="both"/>
            </w:pPr>
            <w:r>
              <w:t>Организация и проведение мероприятий Программы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00000">
            <w:pPr>
              <w:ind/>
              <w:jc w:val="both"/>
            </w:pPr>
            <w:r>
              <w:t>8(817 57) 3-26-85</w:t>
            </w:r>
          </w:p>
          <w:p w14:paraId="E3000000">
            <w:pPr>
              <w:ind/>
              <w:jc w:val="both"/>
            </w:pPr>
            <w:r>
              <w:t>uprim_kir@mail.ru</w:t>
            </w:r>
          </w:p>
        </w:tc>
      </w:tr>
    </w:tbl>
    <w:p w14:paraId="E4000000">
      <w:pPr>
        <w:ind/>
        <w:jc w:val="both"/>
        <w:rPr>
          <w:rFonts w:ascii="Calibri" w:hAnsi="Calibri"/>
          <w:sz w:val="26"/>
        </w:rPr>
      </w:pPr>
    </w:p>
    <w:p w14:paraId="E5000000">
      <w:pPr>
        <w:ind w:firstLine="709" w:left="0"/>
        <w:jc w:val="both"/>
        <w:rPr>
          <w:sz w:val="26"/>
        </w:rPr>
      </w:pPr>
      <w:r>
        <w:rPr>
          <w:sz w:val="26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E6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</w:t>
      </w:r>
      <w:r>
        <w:rPr>
          <w:sz w:val="26"/>
        </w:rPr>
        <w:t>снижения</w:t>
      </w:r>
      <w:r>
        <w:rPr>
          <w:sz w:val="26"/>
        </w:rPr>
        <w:t xml:space="preserve">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14:paraId="E7000000">
      <w:pPr>
        <w:ind w:firstLine="709" w:left="0"/>
        <w:jc w:val="both"/>
        <w:rPr>
          <w:sz w:val="26"/>
        </w:rPr>
      </w:pPr>
      <w:r>
        <w:rPr>
          <w:sz w:val="26"/>
        </w:rPr>
        <w:t>Целевые показатели результативности мероприятий Программы по муниципальному земельному контролю:</w:t>
      </w:r>
    </w:p>
    <w:p w14:paraId="E8000000">
      <w:pPr>
        <w:ind w:firstLine="709" w:left="0"/>
        <w:jc w:val="both"/>
        <w:rPr>
          <w:sz w:val="26"/>
        </w:rPr>
      </w:pPr>
      <w:r>
        <w:rPr>
          <w:sz w:val="26"/>
        </w:rPr>
        <w:t>1) Количество выявленных нарушений требований земельного законодательства, шт.</w:t>
      </w:r>
    </w:p>
    <w:p w14:paraId="E9000000">
      <w:pPr>
        <w:ind w:firstLine="709" w:left="0"/>
        <w:jc w:val="both"/>
        <w:rPr>
          <w:sz w:val="26"/>
        </w:rPr>
      </w:pPr>
      <w:r>
        <w:rPr>
          <w:sz w:val="26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сайте, консультирования).</w:t>
      </w:r>
    </w:p>
    <w:p w14:paraId="EA000000">
      <w:pPr>
        <w:ind w:firstLine="709" w:left="0"/>
        <w:jc w:val="both"/>
        <w:rPr>
          <w:sz w:val="26"/>
        </w:rPr>
      </w:pPr>
      <w:r>
        <w:rPr>
          <w:sz w:val="26"/>
        </w:rPr>
        <w:t>Показатели эффективности:</w:t>
      </w:r>
    </w:p>
    <w:p w14:paraId="EB000000">
      <w:pPr>
        <w:ind w:firstLine="709" w:left="0"/>
        <w:jc w:val="both"/>
        <w:rPr>
          <w:sz w:val="26"/>
        </w:rPr>
      </w:pPr>
      <w:r>
        <w:rPr>
          <w:sz w:val="26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14:paraId="EC000000">
      <w:pPr>
        <w:ind w:firstLine="709" w:left="0"/>
        <w:jc w:val="both"/>
        <w:rPr>
          <w:sz w:val="26"/>
        </w:rPr>
      </w:pPr>
      <w:r>
        <w:rPr>
          <w:sz w:val="26"/>
        </w:rPr>
        <w:t>2) Количество проведенных профилактических мероприятий контрольным (надзорным) органом, ед.</w:t>
      </w:r>
    </w:p>
    <w:p w14:paraId="ED000000">
      <w:pPr>
        <w:ind w:firstLine="709" w:left="0"/>
        <w:jc w:val="both"/>
        <w:rPr>
          <w:sz w:val="26"/>
        </w:rPr>
      </w:pPr>
      <w:r>
        <w:rPr>
          <w:sz w:val="26"/>
        </w:rPr>
        <w:t>3) Доля профилактических мероприятий в объеме контрольно-надзорных мероприятий, %.</w:t>
      </w:r>
    </w:p>
    <w:p w14:paraId="EE000000">
      <w:pPr>
        <w:ind w:firstLine="709" w:left="0"/>
        <w:jc w:val="both"/>
        <w:rPr>
          <w:sz w:val="26"/>
        </w:rPr>
      </w:pPr>
      <w:r>
        <w:rPr>
          <w:sz w:val="26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EF000000">
      <w:pPr>
        <w:ind w:firstLine="709" w:left="0"/>
        <w:jc w:val="both"/>
        <w:rPr>
          <w:sz w:val="26"/>
        </w:rPr>
      </w:pPr>
      <w:r>
        <w:rPr>
          <w:sz w:val="26"/>
        </w:rPr>
        <w:t>Отчетным периодом для определения значений показателей является календарный год.</w:t>
      </w:r>
    </w:p>
    <w:p w14:paraId="F0000000">
      <w:pPr>
        <w:ind w:firstLine="709" w:left="0"/>
        <w:jc w:val="both"/>
        <w:rPr>
          <w:sz w:val="26"/>
        </w:rPr>
      </w:pPr>
      <w:r>
        <w:rPr>
          <w:sz w:val="26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sectPr>
      <w:headerReference r:id="rId1" w:type="default"/>
      <w:footerReference r:id="rId2" w:type="default"/>
      <w:pgSz w:h="16840" w:orient="portrait" w:w="11907"/>
      <w:pgMar w:bottom="426" w:footer="454" w:gutter="0" w:header="454" w:left="1701" w:right="624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  <w:r>
      <w:rPr>
        <w:sz w:val="14"/>
      </w:rPr>
      <w:t xml:space="preserve"> </w:t>
    </w:r>
  </w:p>
  <w:p w14:paraId="04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7"/>
    <w:next w:val="Style_7"/>
    <w:link w:val="Style_10_ch"/>
    <w:uiPriority w:val="9"/>
    <w:qFormat/>
    <w:pPr>
      <w:keepNext w:val="1"/>
      <w:ind/>
      <w:outlineLvl w:val="6"/>
    </w:pPr>
    <w:rPr>
      <w:b w:val="1"/>
      <w:i w:val="1"/>
      <w:sz w:val="26"/>
    </w:rPr>
  </w:style>
  <w:style w:styleId="Style_10_ch" w:type="character">
    <w:name w:val="heading 7"/>
    <w:basedOn w:val="Style_7_ch"/>
    <w:link w:val="Style_10"/>
    <w:rPr>
      <w:b w:val="1"/>
      <w:i w:val="1"/>
      <w:sz w:val="26"/>
    </w:rPr>
  </w:style>
  <w:style w:styleId="Style_11" w:type="paragraph">
    <w:name w:val="toc 6"/>
    <w:next w:val="Style_7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ConsPlusNormal"/>
    <w:link w:val="Style_13_ch"/>
    <w:pPr>
      <w:widowControl w:val="0"/>
      <w:ind w:firstLine="720" w:left="0"/>
    </w:pPr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6" w:type="paragraph">
    <w:name w:val="No Spacing"/>
    <w:link w:val="Style_6_ch"/>
    <w:pPr>
      <w:widowControl w:val="0"/>
      <w:ind/>
      <w:jc w:val="both"/>
    </w:pPr>
    <w:rPr>
      <w:sz w:val="24"/>
    </w:rPr>
  </w:style>
  <w:style w:styleId="Style_6_ch" w:type="character">
    <w:name w:val="No Spacing"/>
    <w:link w:val="Style_6"/>
    <w:rPr>
      <w:sz w:val="24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Style7"/>
    <w:basedOn w:val="Style_7"/>
    <w:link w:val="Style_15_ch"/>
    <w:pPr>
      <w:widowControl w:val="0"/>
      <w:spacing w:line="312" w:lineRule="exact"/>
      <w:ind w:firstLine="706" w:left="0"/>
    </w:pPr>
    <w:rPr>
      <w:sz w:val="24"/>
    </w:rPr>
  </w:style>
  <w:style w:styleId="Style_15_ch" w:type="character">
    <w:name w:val="Style7"/>
    <w:basedOn w:val="Style_7_ch"/>
    <w:link w:val="Style_15"/>
    <w:rPr>
      <w:sz w:val="24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7"/>
    <w:next w:val="Style_7"/>
    <w:link w:val="Style_17_ch"/>
    <w:uiPriority w:val="9"/>
    <w:qFormat/>
    <w:pPr>
      <w:keepNext w:val="1"/>
      <w:ind/>
      <w:jc w:val="center"/>
      <w:outlineLvl w:val="2"/>
    </w:pPr>
    <w:rPr>
      <w:b w:val="1"/>
      <w:sz w:val="28"/>
    </w:rPr>
  </w:style>
  <w:style w:styleId="Style_17_ch" w:type="character">
    <w:name w:val="heading 3"/>
    <w:basedOn w:val="Style_7_ch"/>
    <w:link w:val="Style_17"/>
    <w:rPr>
      <w:b w:val="1"/>
      <w:sz w:val="28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</w:rPr>
  </w:style>
  <w:style w:styleId="Style_18_ch" w:type="character">
    <w:name w:val="ConsPlusNonformat"/>
    <w:link w:val="Style_18"/>
    <w:rPr>
      <w:rFonts w:ascii="Courier New" w:hAnsi="Courier New"/>
    </w:rPr>
  </w:style>
  <w:style w:styleId="Style_19" w:type="paragraph">
    <w:name w:val="Body Text Indent"/>
    <w:basedOn w:val="Style_7"/>
    <w:link w:val="Style_19_ch"/>
    <w:pPr>
      <w:spacing w:after="120"/>
      <w:ind w:firstLine="0" w:left="283"/>
    </w:pPr>
    <w:rPr>
      <w:sz w:val="24"/>
    </w:rPr>
  </w:style>
  <w:style w:styleId="Style_19_ch" w:type="character">
    <w:name w:val="Body Text Indent"/>
    <w:basedOn w:val="Style_7_ch"/>
    <w:link w:val="Style_19"/>
    <w:rPr>
      <w:sz w:val="24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Normal (Web)"/>
    <w:basedOn w:val="Style_7"/>
    <w:link w:val="Style_21_ch"/>
    <w:pPr>
      <w:spacing w:afterAutospacing="on" w:beforeAutospacing="on"/>
      <w:ind/>
    </w:pPr>
    <w:rPr>
      <w:sz w:val="24"/>
    </w:rPr>
  </w:style>
  <w:style w:styleId="Style_21_ch" w:type="character">
    <w:name w:val="Normal (Web)"/>
    <w:basedOn w:val="Style_7_ch"/>
    <w:link w:val="Style_21"/>
    <w:rPr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Body Text"/>
    <w:basedOn w:val="Style_7"/>
    <w:link w:val="Style_23_ch"/>
    <w:rPr>
      <w:sz w:val="28"/>
    </w:rPr>
  </w:style>
  <w:style w:styleId="Style_23_ch" w:type="character">
    <w:name w:val="Body Text"/>
    <w:basedOn w:val="Style_7_ch"/>
    <w:link w:val="Style_23"/>
    <w:rPr>
      <w:sz w:val="28"/>
    </w:rPr>
  </w:style>
  <w:style w:styleId="Style_24" w:type="paragraph">
    <w:name w:val="toc 3"/>
    <w:next w:val="Style_7"/>
    <w:link w:val="Style_24_ch"/>
    <w:uiPriority w:val="39"/>
    <w:pPr>
      <w:ind w:firstLine="0" w:left="400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" w:type="paragraph">
    <w:name w:val="footer"/>
    <w:basedOn w:val="Style_7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footer"/>
    <w:basedOn w:val="Style_7_ch"/>
    <w:link w:val="Style_2"/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heading 5"/>
    <w:next w:val="Style_7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heading 1"/>
    <w:basedOn w:val="Style_7"/>
    <w:next w:val="Style_7"/>
    <w:link w:val="Style_27_ch"/>
    <w:uiPriority w:val="9"/>
    <w:qFormat/>
    <w:pPr>
      <w:keepNext w:val="1"/>
      <w:ind/>
      <w:outlineLvl w:val="0"/>
    </w:pPr>
    <w:rPr>
      <w:sz w:val="28"/>
    </w:rPr>
  </w:style>
  <w:style w:styleId="Style_27_ch" w:type="character">
    <w:name w:val="heading 1"/>
    <w:basedOn w:val="Style_7_ch"/>
    <w:link w:val="Style_27"/>
    <w:rPr>
      <w:sz w:val="28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Balloon Text"/>
    <w:basedOn w:val="Style_7"/>
    <w:link w:val="Style_30_ch"/>
    <w:rPr>
      <w:rFonts w:ascii="Tahoma" w:hAnsi="Tahoma"/>
      <w:sz w:val="16"/>
    </w:rPr>
  </w:style>
  <w:style w:styleId="Style_30_ch" w:type="character">
    <w:name w:val="Balloon Text"/>
    <w:basedOn w:val="Style_7_ch"/>
    <w:link w:val="Style_30"/>
    <w:rPr>
      <w:rFonts w:ascii="Tahoma" w:hAnsi="Tahoma"/>
      <w:sz w:val="16"/>
    </w:rPr>
  </w:style>
  <w:style w:styleId="Style_31" w:type="paragraph">
    <w:name w:val="toc 1"/>
    <w:next w:val="Style_7"/>
    <w:link w:val="Style_31_ch"/>
    <w:uiPriority w:val="39"/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ind/>
      <w:jc w:val="both"/>
    </w:pPr>
    <w:rPr>
      <w:rFonts w:ascii="XO Thames" w:hAnsi="XO Thames"/>
    </w:rPr>
  </w:style>
  <w:style w:styleId="Style_32_ch" w:type="character">
    <w:name w:val="Header and Footer"/>
    <w:link w:val="Style_32"/>
    <w:rPr>
      <w:rFonts w:ascii="XO Thames" w:hAnsi="XO Thames"/>
    </w:rPr>
  </w:style>
  <w:style w:styleId="Style_33" w:type="paragraph">
    <w:name w:val="Body Text 3"/>
    <w:basedOn w:val="Style_7"/>
    <w:link w:val="Style_33_ch"/>
    <w:pPr>
      <w:spacing w:after="120"/>
      <w:ind/>
    </w:pPr>
    <w:rPr>
      <w:sz w:val="16"/>
    </w:rPr>
  </w:style>
  <w:style w:styleId="Style_33_ch" w:type="character">
    <w:name w:val="Body Text 3"/>
    <w:basedOn w:val="Style_7_ch"/>
    <w:link w:val="Style_33"/>
    <w:rPr>
      <w:sz w:val="16"/>
    </w:rPr>
  </w:style>
  <w:style w:styleId="Style_34" w:type="paragraph">
    <w:name w:val="Body Text Indent 2"/>
    <w:basedOn w:val="Style_7"/>
    <w:link w:val="Style_34_ch"/>
    <w:pPr>
      <w:spacing w:after="120" w:line="480" w:lineRule="auto"/>
      <w:ind w:firstLine="0" w:left="283"/>
    </w:pPr>
    <w:rPr>
      <w:sz w:val="24"/>
    </w:rPr>
  </w:style>
  <w:style w:styleId="Style_34_ch" w:type="character">
    <w:name w:val="Body Text Indent 2"/>
    <w:basedOn w:val="Style_7_ch"/>
    <w:link w:val="Style_34"/>
    <w:rPr>
      <w:sz w:val="24"/>
    </w:rPr>
  </w:style>
  <w:style w:styleId="Style_35" w:type="paragraph">
    <w:name w:val="toc 9"/>
    <w:next w:val="Style_7"/>
    <w:link w:val="Style_35_ch"/>
    <w:uiPriority w:val="39"/>
    <w:pPr>
      <w:ind w:firstLine="0" w:left="1600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1" w:type="paragraph">
    <w:name w:val="header"/>
    <w:basedOn w:val="Style_7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7_ch"/>
    <w:link w:val="Style_1"/>
  </w:style>
  <w:style w:styleId="Style_36" w:type="paragraph">
    <w:name w:val="toc 8"/>
    <w:next w:val="Style_7"/>
    <w:link w:val="Style_36_ch"/>
    <w:uiPriority w:val="39"/>
    <w:pPr>
      <w:ind w:firstLine="0" w:left="1400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5" w:type="paragraph">
    <w:name w:val="ConsPlusTitle"/>
    <w:link w:val="Style_5_ch"/>
    <w:pPr>
      <w:widowControl w:val="0"/>
      <w:ind/>
    </w:pPr>
    <w:rPr>
      <w:rFonts w:ascii="Calibri" w:hAnsi="Calibri"/>
      <w:b w:val="1"/>
      <w:sz w:val="22"/>
    </w:rPr>
  </w:style>
  <w:style w:styleId="Style_5_ch" w:type="character">
    <w:name w:val="ConsPlusTitle"/>
    <w:link w:val="Style_5"/>
    <w:rPr>
      <w:rFonts w:ascii="Calibri" w:hAnsi="Calibri"/>
      <w:b w:val="1"/>
      <w:sz w:val="22"/>
    </w:rPr>
  </w:style>
  <w:style w:styleId="Style_37" w:type="paragraph">
    <w:name w:val="toc 5"/>
    <w:next w:val="Style_7"/>
    <w:link w:val="Style_37_ch"/>
    <w:uiPriority w:val="39"/>
    <w:pPr>
      <w:ind w:firstLine="0" w:left="800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Subtitle"/>
    <w:next w:val="Style_7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basedOn w:val="Style_7"/>
    <w:link w:val="Style_39_ch"/>
    <w:uiPriority w:val="10"/>
    <w:qFormat/>
    <w:pPr>
      <w:ind/>
      <w:jc w:val="center"/>
    </w:pPr>
    <w:rPr>
      <w:b w:val="1"/>
      <w:sz w:val="24"/>
    </w:rPr>
  </w:style>
  <w:style w:styleId="Style_39_ch" w:type="character">
    <w:name w:val="Title"/>
    <w:basedOn w:val="Style_7_ch"/>
    <w:link w:val="Style_39"/>
    <w:rPr>
      <w:b w:val="1"/>
      <w:sz w:val="24"/>
    </w:rPr>
  </w:style>
  <w:style w:styleId="Style_40" w:type="paragraph">
    <w:name w:val="heading 4"/>
    <w:basedOn w:val="Style_7"/>
    <w:next w:val="Style_7"/>
    <w:link w:val="Style_40_ch"/>
    <w:uiPriority w:val="9"/>
    <w:qFormat/>
    <w:pPr>
      <w:keepNext w:val="1"/>
      <w:ind/>
      <w:outlineLvl w:val="3"/>
    </w:pPr>
    <w:rPr>
      <w:sz w:val="28"/>
    </w:rPr>
  </w:style>
  <w:style w:styleId="Style_40_ch" w:type="character">
    <w:name w:val="heading 4"/>
    <w:basedOn w:val="Style_7_ch"/>
    <w:link w:val="Style_40"/>
    <w:rPr>
      <w:sz w:val="28"/>
    </w:rPr>
  </w:style>
  <w:style w:styleId="Style_41" w:type="paragraph">
    <w:name w:val="Строгий1"/>
    <w:link w:val="Style_41_ch"/>
    <w:rPr>
      <w:b w:val="1"/>
    </w:rPr>
  </w:style>
  <w:style w:styleId="Style_41_ch" w:type="character">
    <w:name w:val="Строгий1"/>
    <w:link w:val="Style_41"/>
    <w:rPr>
      <w:b w:val="1"/>
    </w:rPr>
  </w:style>
  <w:style w:styleId="Style_3" w:type="paragraph">
    <w:name w:val="heading 2"/>
    <w:basedOn w:val="Style_7"/>
    <w:next w:val="Style_7"/>
    <w:link w:val="Style_3_ch"/>
    <w:uiPriority w:val="9"/>
    <w:qFormat/>
    <w:pPr>
      <w:keepNext w:val="1"/>
      <w:ind/>
      <w:jc w:val="center"/>
      <w:outlineLvl w:val="1"/>
    </w:pPr>
    <w:rPr>
      <w:sz w:val="28"/>
    </w:rPr>
  </w:style>
  <w:style w:styleId="Style_3_ch" w:type="character">
    <w:name w:val="heading 2"/>
    <w:basedOn w:val="Style_7_ch"/>
    <w:link w:val="Style_3"/>
    <w:rPr>
      <w:sz w:val="28"/>
    </w:rPr>
  </w:style>
  <w:style w:styleId="Style_42" w:type="paragraph">
    <w:name w:val="consnormal"/>
    <w:basedOn w:val="Style_7"/>
    <w:link w:val="Style_42_ch"/>
    <w:pPr>
      <w:spacing w:after="15" w:before="15"/>
      <w:ind w:firstLine="225" w:left="15" w:right="15"/>
    </w:pPr>
    <w:rPr>
      <w:sz w:val="24"/>
    </w:rPr>
  </w:style>
  <w:style w:styleId="Style_42_ch" w:type="character">
    <w:name w:val="consnormal"/>
    <w:basedOn w:val="Style_7_ch"/>
    <w:link w:val="Style_42"/>
    <w:rPr>
      <w:sz w:val="24"/>
    </w:rPr>
  </w:style>
  <w:style w:styleId="Style_43" w:type="table">
    <w:name w:val="Plain Table 4"/>
    <w:basedOn w:val="Style_4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Grid Table Light"/>
    <w:basedOn w:val="Style_4"/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45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2025-11-06T14:41:43Z</dcterms:modified>
</cp:coreProperties>
</file>