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2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3" Target="docProps/core.xml" Type="http://schemas.openxmlformats.org/package/2006/relationships/metadata/core-properties"/>
  <Relationship Id="rId2" Target="docProps/app.xml" Type="http://schemas.openxmlformats.org/officeDocument/2006/relationships/extended-properties"/>
  <Relationship Id="rId1" Target="word/document.xml" Type="http://schemas.openxmlformats.org/officeDocument/2006/relationships/officeDocument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5000000">
      <w:pPr>
        <w:pStyle w:val="Style_3"/>
        <w:ind w:firstLine="708" w:left="7080"/>
      </w:pPr>
      <w:r>
        <w:t xml:space="preserve"> проект</w:t>
      </w:r>
    </w:p>
    <w:p w14:paraId="06000000">
      <w:pPr>
        <w:rPr>
          <w:rFonts w:ascii="Courier New" w:hAnsi="Courier New"/>
          <w:sz w:val="16"/>
        </w:rPr>
      </w:pPr>
    </w:p>
    <w:p w14:paraId="07000000">
      <w:pPr>
        <w:ind/>
        <w:jc w:val="center"/>
        <w:rPr>
          <w:sz w:val="28"/>
        </w:rPr>
      </w:pPr>
      <w:r>
        <w:rPr>
          <w:sz w:val="28"/>
        </w:rPr>
        <w:t>АДМИНИСТРАЦИЯ  КИРИЛЛОВСКОГО</w:t>
      </w:r>
      <w:r>
        <w:rPr>
          <w:sz w:val="28"/>
        </w:rPr>
        <w:t xml:space="preserve">  МУНИЦИПАЛЬНОГО  ОКРУГА</w:t>
      </w:r>
    </w:p>
    <w:p w14:paraId="08000000">
      <w:pPr>
        <w:ind/>
        <w:jc w:val="center"/>
        <w:rPr>
          <w:sz w:val="32"/>
        </w:rPr>
      </w:pPr>
      <w:r>
        <w:rPr>
          <w:sz w:val="32"/>
        </w:rPr>
        <w:t>Вологодской области</w:t>
      </w:r>
    </w:p>
    <w:p w14:paraId="09000000">
      <w:pPr>
        <w:rPr>
          <w:sz w:val="32"/>
        </w:rPr>
      </w:pPr>
      <w:r>
        <w:rPr>
          <w:sz w:val="32"/>
        </w:rPr>
        <w:t xml:space="preserve">                              </w:t>
      </w:r>
    </w:p>
    <w:p w14:paraId="0A000000">
      <w:pPr>
        <w:rPr>
          <w:sz w:val="32"/>
        </w:rPr>
      </w:pPr>
    </w:p>
    <w:p w14:paraId="0B000000">
      <w:pPr>
        <w:ind/>
        <w:jc w:val="center"/>
        <w:rPr>
          <w:sz w:val="32"/>
        </w:rPr>
      </w:pPr>
      <w:r>
        <w:rPr>
          <w:sz w:val="32"/>
        </w:rPr>
        <w:t xml:space="preserve">П О С Т А Н О В Л Е Н И Е           </w:t>
      </w:r>
    </w:p>
    <w:p w14:paraId="0C000000">
      <w:pPr>
        <w:rPr>
          <w:sz w:val="28"/>
        </w:rPr>
      </w:pPr>
    </w:p>
    <w:p w14:paraId="0D000000">
      <w:pPr>
        <w:rPr>
          <w:sz w:val="28"/>
        </w:rPr>
      </w:pPr>
    </w:p>
    <w:tbl>
      <w:tblPr>
        <w:tblStyle w:val="Style_4"/>
        <w:tblLayout w:type="fixed"/>
      </w:tblPr>
      <w:tblGrid>
        <w:gridCol w:w="534"/>
        <w:gridCol w:w="2126"/>
        <w:gridCol w:w="548"/>
        <w:gridCol w:w="869"/>
      </w:tblGrid>
      <w:tr>
        <w:tc>
          <w:tcPr>
            <w:tcW w:type="dxa" w:w="534"/>
            <w:shd w:fill="auto" w:val="clear"/>
          </w:tcPr>
          <w:p w14:paraId="0E000000">
            <w:pPr>
              <w:rPr>
                <w:b w:val="1"/>
                <w:sz w:val="28"/>
              </w:rPr>
            </w:pPr>
            <w:r>
              <w:rPr>
                <w:sz w:val="28"/>
              </w:rPr>
              <w:t>от</w:t>
            </w:r>
          </w:p>
        </w:tc>
        <w:tc>
          <w:tcPr>
            <w:tcW w:type="dxa" w:w="2126"/>
            <w:tcBorders>
              <w:top w:sz="4" w:val="nil"/>
              <w:left w:sz="4" w:val="nil"/>
              <w:bottom w:color="000000" w:sz="4" w:val="single"/>
              <w:right w:sz="4" w:val="nil"/>
            </w:tcBorders>
            <w:shd w:fill="auto" w:val="clear"/>
          </w:tcPr>
          <w:p w14:paraId="0F000000">
            <w:pPr>
              <w:ind/>
              <w:jc w:val="center"/>
              <w:rPr>
                <w:sz w:val="28"/>
              </w:rPr>
            </w:pPr>
          </w:p>
        </w:tc>
        <w:tc>
          <w:tcPr>
            <w:tcW w:type="dxa" w:w="548"/>
            <w:shd w:fill="auto" w:val="clear"/>
          </w:tcPr>
          <w:p w14:paraId="10000000">
            <w:pPr>
              <w:rPr>
                <w:b w:val="1"/>
                <w:sz w:val="28"/>
              </w:rPr>
            </w:pPr>
            <w:r>
              <w:rPr>
                <w:sz w:val="28"/>
              </w:rPr>
              <w:t>№</w:t>
            </w:r>
          </w:p>
        </w:tc>
        <w:tc>
          <w:tcPr>
            <w:tcW w:type="dxa" w:w="869"/>
            <w:tcBorders>
              <w:top w:sz="4" w:val="nil"/>
              <w:left w:sz="4" w:val="nil"/>
              <w:bottom w:color="000000" w:sz="4" w:val="single"/>
              <w:right w:sz="4" w:val="nil"/>
            </w:tcBorders>
            <w:shd w:fill="auto" w:val="clear"/>
          </w:tcPr>
          <w:p w14:paraId="11000000">
            <w:pPr>
              <w:ind/>
              <w:jc w:val="center"/>
              <w:rPr>
                <w:sz w:val="28"/>
              </w:rPr>
            </w:pPr>
          </w:p>
        </w:tc>
      </w:tr>
    </w:tbl>
    <w:p w14:paraId="12000000">
      <w:pPr>
        <w:rPr>
          <w:sz w:val="28"/>
        </w:rPr>
      </w:pPr>
    </w:p>
    <w:tbl>
      <w:tblPr>
        <w:tblStyle w:val="Style_4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</w:tblPr>
      <w:tblGrid>
        <w:gridCol w:w="4077"/>
      </w:tblGrid>
      <w:tr>
        <w:tc>
          <w:tcPr>
            <w:tcW w:type="dxa" w:w="4077"/>
            <w:tcBorders>
              <w:top w:sz="4" w:val="nil"/>
              <w:left w:sz="4" w:val="nil"/>
              <w:bottom w:sz="4" w:val="nil"/>
              <w:right w:sz="4" w:val="nil"/>
            </w:tcBorders>
          </w:tcPr>
          <w:p w14:paraId="13000000">
            <w:pPr>
              <w:ind/>
              <w:jc w:val="both"/>
              <w:rPr>
                <w:sz w:val="26"/>
              </w:rPr>
            </w:pPr>
            <w:r>
              <w:rPr>
                <w:sz w:val="26"/>
              </w:rPr>
              <w:t>Об утверждении программы «Профилактика рисков причинения вреда (ущерба) охраняемым законом ценностям по муниципальному жилищному контролю на территории Кирилловского муниципального округа на 2026 год»</w:t>
            </w:r>
          </w:p>
          <w:p w14:paraId="14000000">
            <w:pPr>
              <w:pStyle w:val="Style_5"/>
              <w:ind/>
              <w:jc w:val="both"/>
              <w:rPr>
                <w:rFonts w:ascii="Times New Roman" w:hAnsi="Times New Roman"/>
                <w:b w:val="0"/>
                <w:sz w:val="26"/>
              </w:rPr>
            </w:pPr>
          </w:p>
        </w:tc>
      </w:tr>
    </w:tbl>
    <w:p w14:paraId="15000000">
      <w:pPr>
        <w:rPr>
          <w:sz w:val="26"/>
        </w:rPr>
      </w:pPr>
    </w:p>
    <w:p w14:paraId="16000000">
      <w:pPr>
        <w:ind w:firstLine="708" w:left="0"/>
        <w:jc w:val="both"/>
        <w:rPr>
          <w:sz w:val="26"/>
        </w:rPr>
      </w:pPr>
      <w:r>
        <w:rPr>
          <w:sz w:val="26"/>
        </w:rPr>
        <w:t>В соответствии со статьей 44 Федерального закона от 31.07.2020 № 248-ФЗ «О государственном контроле (надзоре) и муниципальном контроле в Российской Федерации», постановлением Правительства Российской Федерации от 25.06.2021 № 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ценностям», решением</w:t>
      </w:r>
      <w:r>
        <w:rPr>
          <w:sz w:val="26"/>
        </w:rPr>
        <w:t xml:space="preserve"> Представительного Собрания Кирилловского муниципального округа от 02.11.2023</w:t>
      </w:r>
      <w:r>
        <w:rPr>
          <w:sz w:val="26"/>
        </w:rPr>
        <w:t xml:space="preserve"> №37 «Об утверждении Положения о муниципальном жилищном контроле на территории Кирилловского муниципального округа»,</w:t>
      </w:r>
      <w:r>
        <w:rPr>
          <w:sz w:val="26"/>
        </w:rPr>
        <w:t xml:space="preserve"> </w:t>
      </w:r>
      <w:r>
        <w:rPr>
          <w:sz w:val="25"/>
        </w:rPr>
        <w:t xml:space="preserve">администрация округа  </w:t>
      </w:r>
    </w:p>
    <w:p w14:paraId="17000000">
      <w:pPr>
        <w:tabs>
          <w:tab w:leader="none" w:pos="709" w:val="left"/>
        </w:tabs>
        <w:ind/>
        <w:jc w:val="both"/>
        <w:rPr>
          <w:b w:val="1"/>
          <w:sz w:val="25"/>
        </w:rPr>
      </w:pPr>
      <w:r>
        <w:rPr>
          <w:b w:val="1"/>
          <w:sz w:val="25"/>
        </w:rPr>
        <w:t>ПОСТАНОВЛЯЕТ:</w:t>
      </w:r>
    </w:p>
    <w:p w14:paraId="18000000">
      <w:pPr>
        <w:tabs>
          <w:tab w:leader="none" w:pos="709" w:val="left"/>
        </w:tabs>
        <w:ind/>
        <w:jc w:val="both"/>
        <w:rPr>
          <w:sz w:val="25"/>
        </w:rPr>
      </w:pPr>
    </w:p>
    <w:p w14:paraId="19000000">
      <w:pPr>
        <w:pStyle w:val="Style_6"/>
        <w:ind w:firstLine="708" w:left="0"/>
        <w:rPr>
          <w:sz w:val="26"/>
        </w:rPr>
      </w:pPr>
      <w:r>
        <w:rPr>
          <w:sz w:val="26"/>
        </w:rPr>
        <w:t>1.Утвердить программу «Профилактика рисков причинения вреда (ущерба) охраняемым законом ценностям по муниципальному жилищному контролю на территории Кирилловского муниципального округа» на 2026 год» согласно приложению.</w:t>
      </w:r>
    </w:p>
    <w:p w14:paraId="1A000000">
      <w:pPr>
        <w:pStyle w:val="Style_6"/>
        <w:ind w:firstLine="708" w:left="0"/>
        <w:rPr>
          <w:sz w:val="26"/>
          <w:shd w:fill="FFD821" w:val="clear"/>
        </w:rPr>
      </w:pPr>
      <w:r>
        <w:rPr>
          <w:sz w:val="26"/>
        </w:rPr>
        <w:t>2. Признать утратившим силу с 1 января 2026 года постановление администрации Кирилловского муниципального района от</w:t>
      </w:r>
      <w:r>
        <w:rPr>
          <w:sz w:val="26"/>
        </w:rPr>
        <w:t xml:space="preserve"> 12.12.2024 №2172 «Об утверждении программы «Профилактика рисков причинения вреда (ущерба) охраняемым законом ценностям по муниципальному жилищному контролю на территории Кирилловского муниципального округа на 2025 год».</w:t>
      </w:r>
    </w:p>
    <w:p w14:paraId="1B000000">
      <w:pPr>
        <w:ind w:firstLine="708" w:left="0"/>
        <w:jc w:val="both"/>
        <w:rPr>
          <w:sz w:val="26"/>
        </w:rPr>
      </w:pPr>
      <w:r>
        <w:rPr>
          <w:sz w:val="26"/>
        </w:rPr>
        <w:t>2. Настоящее постановление подлежит размещению на сайте Кирилловского муниципального округа в информационно-телекоммуникационной сети «Интернет» в течение 5 дней со дня его принятия.</w:t>
      </w:r>
    </w:p>
    <w:p w14:paraId="1C000000">
      <w:pPr>
        <w:tabs>
          <w:tab w:leader="none" w:pos="284" w:val="left"/>
        </w:tabs>
        <w:ind/>
        <w:jc w:val="both"/>
        <w:rPr>
          <w:sz w:val="26"/>
        </w:rPr>
      </w:pPr>
    </w:p>
    <w:p w14:paraId="1D000000">
      <w:pPr>
        <w:tabs>
          <w:tab w:leader="none" w:pos="284" w:val="left"/>
        </w:tabs>
        <w:ind/>
        <w:jc w:val="both"/>
        <w:rPr>
          <w:sz w:val="26"/>
        </w:rPr>
      </w:pPr>
    </w:p>
    <w:p w14:paraId="1E000000">
      <w:pPr>
        <w:tabs>
          <w:tab w:leader="none" w:pos="284" w:val="left"/>
        </w:tabs>
        <w:ind/>
        <w:jc w:val="both"/>
        <w:rPr>
          <w:sz w:val="26"/>
        </w:rPr>
      </w:pPr>
    </w:p>
    <w:p w14:paraId="1F000000">
      <w:pPr>
        <w:tabs>
          <w:tab w:leader="none" w:pos="284" w:val="left"/>
        </w:tabs>
        <w:ind/>
        <w:jc w:val="both"/>
        <w:rPr>
          <w:sz w:val="26"/>
        </w:rPr>
      </w:pPr>
      <w:r>
        <w:rPr>
          <w:sz w:val="26"/>
        </w:rPr>
        <w:t xml:space="preserve">Заместитель главы                                </w:t>
      </w:r>
      <w:r>
        <w:rPr>
          <w:sz w:val="26"/>
        </w:rPr>
        <w:tab/>
      </w:r>
      <w:r>
        <w:rPr>
          <w:sz w:val="26"/>
        </w:rPr>
        <w:tab/>
      </w:r>
      <w:r>
        <w:rPr>
          <w:sz w:val="26"/>
        </w:rPr>
        <w:tab/>
      </w:r>
      <w:r>
        <w:rPr>
          <w:sz w:val="26"/>
        </w:rPr>
        <w:tab/>
      </w:r>
      <w:r>
        <w:rPr>
          <w:sz w:val="26"/>
        </w:rPr>
        <w:t xml:space="preserve">                         </w:t>
      </w:r>
      <w:r>
        <w:rPr>
          <w:sz w:val="26"/>
        </w:rPr>
        <w:t>А.В.Юлин</w:t>
      </w:r>
      <w:r>
        <w:rPr>
          <w:sz w:val="26"/>
        </w:rPr>
        <w:t xml:space="preserve"> </w:t>
      </w:r>
    </w:p>
    <w:p w14:paraId="20000000">
      <w:pPr>
        <w:tabs>
          <w:tab w:leader="none" w:pos="284" w:val="left"/>
        </w:tabs>
        <w:ind/>
        <w:jc w:val="both"/>
        <w:rPr>
          <w:sz w:val="26"/>
        </w:rPr>
      </w:pPr>
    </w:p>
    <w:p w14:paraId="21000000">
      <w:pPr>
        <w:tabs>
          <w:tab w:leader="none" w:pos="284" w:val="left"/>
        </w:tabs>
        <w:ind/>
        <w:jc w:val="both"/>
        <w:rPr>
          <w:sz w:val="26"/>
        </w:rPr>
      </w:pPr>
      <w:r>
        <w:rPr>
          <w:sz w:val="26"/>
        </w:rPr>
        <w:tab/>
      </w:r>
      <w:r>
        <w:rPr>
          <w:sz w:val="26"/>
        </w:rPr>
        <w:tab/>
      </w:r>
      <w:r>
        <w:rPr>
          <w:sz w:val="26"/>
        </w:rPr>
        <w:tab/>
      </w:r>
      <w:r>
        <w:rPr>
          <w:sz w:val="26"/>
        </w:rPr>
        <w:tab/>
      </w:r>
      <w:r>
        <w:rPr>
          <w:sz w:val="26"/>
        </w:rPr>
        <w:tab/>
      </w:r>
      <w:r>
        <w:rPr>
          <w:sz w:val="26"/>
        </w:rPr>
        <w:tab/>
      </w:r>
    </w:p>
    <w:p w14:paraId="22000000">
      <w:pPr>
        <w:tabs>
          <w:tab w:leader="none" w:pos="284" w:val="left"/>
        </w:tabs>
        <w:ind/>
        <w:jc w:val="both"/>
        <w:rPr>
          <w:sz w:val="26"/>
        </w:rPr>
      </w:pPr>
    </w:p>
    <w:p w14:paraId="23000000">
      <w:pPr>
        <w:tabs>
          <w:tab w:leader="none" w:pos="284" w:val="left"/>
        </w:tabs>
        <w:ind/>
        <w:jc w:val="both"/>
        <w:rPr>
          <w:sz w:val="26"/>
        </w:rPr>
      </w:pPr>
      <w:r>
        <w:rPr>
          <w:sz w:val="26"/>
        </w:rPr>
        <w:tab/>
      </w:r>
      <w:r>
        <w:rPr>
          <w:sz w:val="26"/>
        </w:rPr>
        <w:tab/>
      </w:r>
      <w:r>
        <w:rPr>
          <w:sz w:val="26"/>
        </w:rPr>
        <w:tab/>
      </w:r>
      <w:r>
        <w:rPr>
          <w:sz w:val="26"/>
        </w:rPr>
        <w:tab/>
      </w:r>
      <w:r>
        <w:rPr>
          <w:sz w:val="26"/>
        </w:rPr>
        <w:tab/>
      </w:r>
      <w:r>
        <w:rPr>
          <w:sz w:val="26"/>
        </w:rPr>
        <w:tab/>
      </w:r>
      <w:r>
        <w:rPr>
          <w:sz w:val="26"/>
        </w:rPr>
        <w:tab/>
      </w:r>
      <w:r>
        <w:rPr>
          <w:sz w:val="26"/>
        </w:rPr>
        <w:tab/>
      </w:r>
      <w:r>
        <w:rPr>
          <w:sz w:val="26"/>
        </w:rPr>
        <w:tab/>
      </w:r>
      <w:r>
        <w:rPr>
          <w:sz w:val="26"/>
        </w:rPr>
        <w:t xml:space="preserve">Приложение к постановлению </w:t>
      </w:r>
    </w:p>
    <w:p w14:paraId="24000000">
      <w:pPr>
        <w:tabs>
          <w:tab w:leader="none" w:pos="284" w:val="left"/>
        </w:tabs>
        <w:ind/>
        <w:jc w:val="both"/>
        <w:rPr>
          <w:sz w:val="26"/>
        </w:rPr>
      </w:pPr>
      <w:r>
        <w:rPr>
          <w:sz w:val="26"/>
        </w:rPr>
        <w:tab/>
      </w:r>
      <w:r>
        <w:rPr>
          <w:sz w:val="26"/>
        </w:rPr>
        <w:tab/>
      </w:r>
      <w:r>
        <w:rPr>
          <w:sz w:val="26"/>
        </w:rPr>
        <w:tab/>
      </w:r>
      <w:r>
        <w:rPr>
          <w:sz w:val="26"/>
        </w:rPr>
        <w:tab/>
      </w:r>
      <w:r>
        <w:rPr>
          <w:sz w:val="26"/>
        </w:rPr>
        <w:tab/>
      </w:r>
      <w:r>
        <w:rPr>
          <w:sz w:val="26"/>
        </w:rPr>
        <w:tab/>
      </w:r>
      <w:r>
        <w:rPr>
          <w:sz w:val="26"/>
        </w:rPr>
        <w:tab/>
      </w:r>
      <w:r>
        <w:rPr>
          <w:sz w:val="26"/>
        </w:rPr>
        <w:tab/>
      </w:r>
      <w:r>
        <w:rPr>
          <w:sz w:val="26"/>
        </w:rPr>
        <w:tab/>
      </w:r>
      <w:r>
        <w:rPr>
          <w:sz w:val="26"/>
        </w:rPr>
        <w:t xml:space="preserve">администрации округа </w:t>
      </w:r>
    </w:p>
    <w:p w14:paraId="25000000">
      <w:pPr>
        <w:tabs>
          <w:tab w:leader="none" w:pos="284" w:val="left"/>
        </w:tabs>
        <w:ind/>
        <w:jc w:val="both"/>
        <w:rPr>
          <w:sz w:val="26"/>
        </w:rPr>
      </w:pPr>
      <w:r>
        <w:rPr>
          <w:sz w:val="26"/>
        </w:rPr>
        <w:tab/>
      </w:r>
      <w:r>
        <w:rPr>
          <w:sz w:val="26"/>
        </w:rPr>
        <w:tab/>
      </w:r>
      <w:r>
        <w:rPr>
          <w:sz w:val="26"/>
        </w:rPr>
        <w:tab/>
      </w:r>
      <w:r>
        <w:rPr>
          <w:sz w:val="26"/>
        </w:rPr>
        <w:tab/>
      </w:r>
      <w:r>
        <w:rPr>
          <w:sz w:val="26"/>
        </w:rPr>
        <w:tab/>
      </w:r>
      <w:r>
        <w:rPr>
          <w:sz w:val="26"/>
        </w:rPr>
        <w:tab/>
      </w:r>
      <w:r>
        <w:rPr>
          <w:sz w:val="26"/>
        </w:rPr>
        <w:tab/>
      </w:r>
      <w:r>
        <w:rPr>
          <w:sz w:val="26"/>
        </w:rPr>
        <w:tab/>
      </w:r>
      <w:r>
        <w:rPr>
          <w:sz w:val="26"/>
        </w:rPr>
        <w:tab/>
      </w:r>
      <w:r>
        <w:rPr>
          <w:sz w:val="26"/>
        </w:rPr>
        <w:t>от ________________ №_____</w:t>
      </w:r>
    </w:p>
    <w:p w14:paraId="26000000">
      <w:pPr>
        <w:tabs>
          <w:tab w:leader="none" w:pos="284" w:val="left"/>
        </w:tabs>
        <w:ind/>
        <w:jc w:val="both"/>
        <w:rPr>
          <w:sz w:val="26"/>
        </w:rPr>
      </w:pPr>
    </w:p>
    <w:p w14:paraId="27000000">
      <w:pPr>
        <w:ind/>
        <w:jc w:val="center"/>
        <w:rPr>
          <w:b w:val="1"/>
          <w:sz w:val="26"/>
        </w:rPr>
      </w:pPr>
      <w:r>
        <w:rPr>
          <w:b w:val="1"/>
          <w:sz w:val="26"/>
        </w:rPr>
        <w:t xml:space="preserve">ПРОГРАММА </w:t>
      </w:r>
    </w:p>
    <w:p w14:paraId="28000000">
      <w:pPr>
        <w:ind/>
        <w:jc w:val="center"/>
        <w:rPr>
          <w:b w:val="1"/>
          <w:sz w:val="26"/>
        </w:rPr>
      </w:pPr>
      <w:r>
        <w:rPr>
          <w:b w:val="1"/>
          <w:sz w:val="26"/>
        </w:rPr>
        <w:t xml:space="preserve">профилактики рисков причинения вреда (ущерба) охраняемым законом </w:t>
      </w:r>
    </w:p>
    <w:p w14:paraId="29000000">
      <w:pPr>
        <w:ind/>
        <w:jc w:val="center"/>
        <w:rPr>
          <w:b w:val="1"/>
          <w:sz w:val="26"/>
        </w:rPr>
      </w:pPr>
      <w:r>
        <w:rPr>
          <w:b w:val="1"/>
          <w:sz w:val="26"/>
        </w:rPr>
        <w:t xml:space="preserve">ценностям по муниципальному жилищному контролю </w:t>
      </w:r>
    </w:p>
    <w:p w14:paraId="2A000000">
      <w:pPr>
        <w:ind/>
        <w:jc w:val="center"/>
        <w:rPr>
          <w:b w:val="1"/>
          <w:sz w:val="26"/>
        </w:rPr>
      </w:pPr>
      <w:r>
        <w:rPr>
          <w:b w:val="1"/>
          <w:sz w:val="26"/>
        </w:rPr>
        <w:t>на территории Кирилловского муниципального округа на 2026 год</w:t>
      </w:r>
    </w:p>
    <w:p w14:paraId="2B000000">
      <w:pPr>
        <w:ind/>
        <w:jc w:val="center"/>
        <w:rPr>
          <w:b w:val="1"/>
          <w:sz w:val="26"/>
        </w:rPr>
      </w:pPr>
    </w:p>
    <w:p w14:paraId="2C000000">
      <w:pPr>
        <w:ind/>
        <w:jc w:val="center"/>
        <w:outlineLvl w:val="1"/>
        <w:rPr>
          <w:b w:val="1"/>
          <w:sz w:val="26"/>
        </w:rPr>
      </w:pPr>
      <w:r>
        <w:rPr>
          <w:b w:val="1"/>
          <w:sz w:val="26"/>
        </w:rPr>
        <w:t xml:space="preserve">Раздел I. </w:t>
      </w:r>
    </w:p>
    <w:p w14:paraId="2D000000">
      <w:pPr>
        <w:ind/>
        <w:jc w:val="center"/>
        <w:outlineLvl w:val="1"/>
        <w:rPr>
          <w:b w:val="1"/>
          <w:sz w:val="26"/>
        </w:rPr>
      </w:pPr>
      <w:r>
        <w:rPr>
          <w:b w:val="1"/>
          <w:sz w:val="26"/>
        </w:rPr>
        <w:t>Анализ текущего состояния осуществления вида контроля, описание текущего уровня развития профилактической деятельности контрольного (надзорного) органа, характеристика проблем, на решение которых направлена программа профилактики рисков причинения вреда</w:t>
      </w:r>
    </w:p>
    <w:p w14:paraId="2E000000">
      <w:pPr>
        <w:ind/>
        <w:jc w:val="center"/>
        <w:outlineLvl w:val="1"/>
        <w:rPr>
          <w:b w:val="1"/>
          <w:sz w:val="26"/>
        </w:rPr>
      </w:pPr>
    </w:p>
    <w:p w14:paraId="2F000000">
      <w:pPr>
        <w:ind w:firstLine="708" w:left="0"/>
        <w:rPr>
          <w:sz w:val="26"/>
        </w:rPr>
      </w:pPr>
    </w:p>
    <w:p w14:paraId="30000000">
      <w:pPr>
        <w:ind w:firstLine="708" w:left="0"/>
        <w:jc w:val="both"/>
        <w:rPr>
          <w:sz w:val="26"/>
        </w:rPr>
      </w:pPr>
      <w:r>
        <w:rPr>
          <w:sz w:val="26"/>
        </w:rPr>
        <w:t xml:space="preserve">Органом администрации Кирилловского муниципального округа, осуществляющим муниципальный жилищный контроль, является комитет по управлению имуществом администрации округа (далее – Комитет). </w:t>
      </w:r>
    </w:p>
    <w:p w14:paraId="31000000">
      <w:pPr>
        <w:ind w:firstLine="708" w:left="0"/>
        <w:jc w:val="both"/>
        <w:rPr>
          <w:sz w:val="26"/>
        </w:rPr>
      </w:pPr>
      <w:r>
        <w:rPr>
          <w:sz w:val="26"/>
        </w:rPr>
        <w:t>Предметом муниципального жилищного контроля является соблюдение юридическими лицами, индивидуальными предпринимателями и гражданами обязательных требований, указанных в пунктах 1-11 части 1 статьи 20 Жилищного кодекса Российской Федерации, в отношении муниципального жилищного фонда.</w:t>
      </w:r>
    </w:p>
    <w:p w14:paraId="32000000">
      <w:pPr>
        <w:ind w:firstLine="708" w:left="0"/>
        <w:jc w:val="both"/>
        <w:rPr>
          <w:sz w:val="26"/>
        </w:rPr>
      </w:pPr>
      <w:r>
        <w:rPr>
          <w:sz w:val="26"/>
        </w:rPr>
        <w:t>Осуществление муниципального жилищного контроля регулируется Федера</w:t>
      </w:r>
      <w:r>
        <w:rPr>
          <w:sz w:val="26"/>
        </w:rPr>
        <w:t>льным законом от 31.07.2020</w:t>
      </w:r>
      <w:r>
        <w:rPr>
          <w:sz w:val="26"/>
        </w:rPr>
        <w:t xml:space="preserve"> № 248-ФЗ «О государственном контроле (надзоре) и муниципальном контроле в Российской Федерации» (далее – Федеральный закон № 248-ФЗ), </w:t>
      </w:r>
      <w:r>
        <w:rPr>
          <w:sz w:val="26"/>
        </w:rPr>
        <w:t>решением Представительного Собрания Кирилловского муниципального района от 02.11.2023 №37 «Об утверждении Положения о муниципальном жилищном контроле на территории Кирилловского муниципального округа»</w:t>
      </w:r>
    </w:p>
    <w:p w14:paraId="33000000">
      <w:pPr>
        <w:ind w:firstLine="708" w:left="0"/>
        <w:jc w:val="both"/>
        <w:rPr>
          <w:sz w:val="26"/>
        </w:rPr>
      </w:pPr>
      <w:r>
        <w:rPr>
          <w:sz w:val="26"/>
        </w:rPr>
        <w:t xml:space="preserve">Информация об указанных нормативных правовых актах опубликована на официальном сайте Кирилловского муниципального округа в информационной телекоммуникационной сети «Интернет»: </w:t>
      </w:r>
      <w:r>
        <w:rPr>
          <w:sz w:val="26"/>
        </w:rPr>
        <w:t xml:space="preserve"> </w:t>
      </w:r>
    </w:p>
    <w:p w14:paraId="34000000">
      <w:pPr>
        <w:ind w:firstLine="708" w:left="0"/>
        <w:jc w:val="both"/>
        <w:rPr>
          <w:sz w:val="26"/>
        </w:rPr>
      </w:pPr>
      <w:r>
        <w:rPr>
          <w:sz w:val="26"/>
        </w:rPr>
        <w:t>Программа профилактики рисков причинения вреда (ущерба) охраняемым за-коном ценностям при осуществлении муниципального земельного контроля (далее – Программа) разработана в соответствии с разделом IV Федерального закона № 248-ФЗ и постановлением Пра</w:t>
      </w:r>
      <w:r>
        <w:rPr>
          <w:sz w:val="26"/>
        </w:rPr>
        <w:t>вительства РФ от 25 июня 2021 года</w:t>
      </w:r>
      <w:r>
        <w:rPr>
          <w:sz w:val="26"/>
        </w:rPr>
        <w:t xml:space="preserve"> № 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  и</w:t>
      </w:r>
      <w:r>
        <w:rPr>
          <w:sz w:val="26"/>
        </w:rPr>
        <w:t xml:space="preserve"> утверждена постановлением администрации Кирилловского муниципаль</w:t>
      </w:r>
      <w:r>
        <w:rPr>
          <w:sz w:val="26"/>
        </w:rPr>
        <w:t>ного района от 12 декабря 2024 года</w:t>
      </w:r>
      <w:r>
        <w:rPr>
          <w:sz w:val="26"/>
        </w:rPr>
        <w:t xml:space="preserve"> № 2172.</w:t>
      </w:r>
    </w:p>
    <w:p w14:paraId="35000000">
      <w:pPr>
        <w:ind w:firstLine="708" w:left="0"/>
        <w:jc w:val="both"/>
        <w:rPr>
          <w:sz w:val="26"/>
        </w:rPr>
      </w:pPr>
      <w:r>
        <w:rPr>
          <w:sz w:val="26"/>
        </w:rPr>
        <w:t>На основании постановления Прав</w:t>
      </w:r>
      <w:r>
        <w:rPr>
          <w:sz w:val="26"/>
        </w:rPr>
        <w:t>ительства РФ от 10 марта 2022 года</w:t>
      </w:r>
      <w:bookmarkStart w:id="1" w:name="_GoBack"/>
      <w:bookmarkEnd w:id="1"/>
      <w:r>
        <w:rPr>
          <w:sz w:val="26"/>
        </w:rPr>
        <w:t xml:space="preserve"> № 336 "Об особенностях организации и осуществления государственного контроля (надзора), муниципального контроля" в 2024 году не проводились плановые контрольные (надзорные) мероприятия, плановые проверки при осуществлении видов государственного контроля (надзора), муниципального контроля, порядок организации и осуществления которых регулируется Федеральным законом "О государственном контроле (надзоре) и муниципальном контроле в Российской Федерации" и Федеральным законом "О защите прав юридических лиц и </w:t>
      </w:r>
      <w:r>
        <w:rPr>
          <w:sz w:val="26"/>
        </w:rPr>
        <w:t>индивидуальных предпринимателей при осуществлении государственного контроля (надзора) и муниципального контроля".</w:t>
      </w:r>
    </w:p>
    <w:p w14:paraId="36000000">
      <w:pPr>
        <w:ind w:firstLine="708" w:left="0"/>
        <w:jc w:val="both"/>
        <w:rPr>
          <w:sz w:val="26"/>
        </w:rPr>
      </w:pPr>
      <w:r>
        <w:rPr>
          <w:sz w:val="26"/>
        </w:rPr>
        <w:t>Согласно пункта 10 постановления Правительства РФ от 10 марта 2022 года № 336 "Об особенностях организации и осуществления государственного контроля (надзора), муниципального контроля" допускалось проведение профилактических мероприятий, мероприятий по профилактике нарушения обязательных требований, контрольных (надзорных) мероприятий без взаимодействия в отношении контролируемых лиц, данные мероприятия не требовали согласования с органами прокуратуры.</w:t>
      </w:r>
    </w:p>
    <w:p w14:paraId="37000000">
      <w:pPr>
        <w:ind w:firstLine="708" w:left="0"/>
        <w:jc w:val="both"/>
        <w:rPr>
          <w:sz w:val="26"/>
        </w:rPr>
      </w:pPr>
      <w:r>
        <w:rPr>
          <w:sz w:val="26"/>
        </w:rPr>
        <w:t>В 2025 году Комитетом не проводилось контрольно-надзорных мероприятий со взаимодействием с контролируемым лицом, контрольно-надзорных мероприятий без взаимодействия с контролируемым лицом так же не проводились в связи с отсутствием обращений в администрацию округа на нарушение обязательных требований в области жилищного законодательства.</w:t>
      </w:r>
    </w:p>
    <w:p w14:paraId="38000000">
      <w:pPr>
        <w:ind w:firstLine="708" w:left="0"/>
        <w:jc w:val="both"/>
        <w:rPr>
          <w:sz w:val="26"/>
        </w:rPr>
      </w:pPr>
      <w:r>
        <w:rPr>
          <w:sz w:val="26"/>
        </w:rPr>
        <w:t>В целях предотвращения нарушений проводились профилактические мероприятия:</w:t>
      </w:r>
    </w:p>
    <w:p w14:paraId="39000000">
      <w:pPr>
        <w:ind w:firstLine="708" w:left="0"/>
        <w:jc w:val="both"/>
        <w:rPr>
          <w:sz w:val="26"/>
        </w:rPr>
      </w:pPr>
      <w:r>
        <w:rPr>
          <w:sz w:val="26"/>
        </w:rPr>
        <w:t xml:space="preserve">информирование посредством размещения сведений, предусмотренных частью 3 статьи 46 Федерального закона № 248-ФЗ, на официальном сайте Кирилловского муниципального округа в сети «Интернет»; </w:t>
      </w:r>
    </w:p>
    <w:p w14:paraId="3A000000">
      <w:pPr>
        <w:ind w:firstLine="708" w:left="0"/>
        <w:jc w:val="both"/>
        <w:rPr>
          <w:sz w:val="26"/>
        </w:rPr>
      </w:pPr>
      <w:r>
        <w:rPr>
          <w:sz w:val="26"/>
        </w:rPr>
        <w:t>консультирование контролируемых лиц и их представителей по обращениям с вопросами, связанными с организацией и осуществлением муниципального жилищного контроля (оказано 2 консультаций в устной форме по телефону).</w:t>
      </w:r>
    </w:p>
    <w:p w14:paraId="3B000000">
      <w:pPr>
        <w:ind w:firstLine="708" w:left="0"/>
        <w:jc w:val="both"/>
        <w:rPr>
          <w:sz w:val="26"/>
        </w:rPr>
      </w:pPr>
      <w:r>
        <w:rPr>
          <w:sz w:val="26"/>
        </w:rPr>
        <w:t>Программа направлена на решение следующих проблем:</w:t>
      </w:r>
    </w:p>
    <w:p w14:paraId="3C000000">
      <w:pPr>
        <w:ind w:firstLine="708" w:left="0"/>
        <w:jc w:val="both"/>
        <w:rPr>
          <w:sz w:val="26"/>
        </w:rPr>
      </w:pPr>
      <w:r>
        <w:rPr>
          <w:sz w:val="26"/>
        </w:rPr>
        <w:t>- незнание подконтрольными субъектами обязательных требований, требований, установленных муниципальными правовыми актами;</w:t>
      </w:r>
    </w:p>
    <w:p w14:paraId="3D000000">
      <w:pPr>
        <w:ind w:firstLine="708" w:left="0"/>
        <w:jc w:val="both"/>
        <w:rPr>
          <w:sz w:val="26"/>
        </w:rPr>
      </w:pPr>
      <w:r>
        <w:rPr>
          <w:sz w:val="26"/>
        </w:rPr>
        <w:t>- увеличение рисков причинения вреда охраняемым законом ценностям;</w:t>
      </w:r>
    </w:p>
    <w:p w14:paraId="3E000000">
      <w:pPr>
        <w:ind w:firstLine="708" w:left="0"/>
        <w:jc w:val="both"/>
        <w:rPr>
          <w:sz w:val="26"/>
        </w:rPr>
      </w:pPr>
      <w:r>
        <w:rPr>
          <w:sz w:val="26"/>
        </w:rPr>
        <w:t>- снижение доли законопослушных подконтрольных субъектов.</w:t>
      </w:r>
    </w:p>
    <w:p w14:paraId="3F000000">
      <w:pPr>
        <w:ind w:firstLine="708" w:left="0"/>
        <w:jc w:val="both"/>
        <w:rPr>
          <w:sz w:val="26"/>
        </w:rPr>
      </w:pPr>
      <w:r>
        <w:rPr>
          <w:sz w:val="26"/>
        </w:rPr>
        <w:t>Ожидаемые результаты реализации программы:</w:t>
      </w:r>
    </w:p>
    <w:p w14:paraId="40000000">
      <w:pPr>
        <w:ind w:firstLine="708" w:left="0"/>
        <w:jc w:val="both"/>
        <w:rPr>
          <w:sz w:val="26"/>
        </w:rPr>
      </w:pPr>
      <w:r>
        <w:rPr>
          <w:sz w:val="26"/>
        </w:rPr>
        <w:t>- развитие системы профилактических мероприятий контрольного органа;</w:t>
      </w:r>
    </w:p>
    <w:p w14:paraId="41000000">
      <w:pPr>
        <w:ind w:firstLine="708" w:left="0"/>
        <w:jc w:val="both"/>
        <w:rPr>
          <w:sz w:val="26"/>
        </w:rPr>
      </w:pPr>
      <w:r>
        <w:rPr>
          <w:sz w:val="26"/>
        </w:rPr>
        <w:t>- обеспечение квалифицированной профилактической работы должностных лиц контрольного органа;</w:t>
      </w:r>
    </w:p>
    <w:p w14:paraId="42000000">
      <w:pPr>
        <w:ind w:firstLine="708" w:left="0"/>
        <w:jc w:val="both"/>
        <w:rPr>
          <w:sz w:val="26"/>
        </w:rPr>
      </w:pPr>
      <w:r>
        <w:rPr>
          <w:sz w:val="26"/>
        </w:rPr>
        <w:t>- повышение прозрачности деятельности контрольного органа.</w:t>
      </w:r>
    </w:p>
    <w:p w14:paraId="43000000">
      <w:pPr>
        <w:ind w:firstLine="708" w:left="0"/>
        <w:jc w:val="both"/>
        <w:rPr>
          <w:sz w:val="26"/>
        </w:rPr>
      </w:pPr>
      <w:r>
        <w:rPr>
          <w:sz w:val="26"/>
        </w:rPr>
        <w:t>Срок реализации Программы: 2026 год.</w:t>
      </w:r>
    </w:p>
    <w:p w14:paraId="44000000">
      <w:pPr>
        <w:ind w:firstLine="708" w:left="0"/>
        <w:jc w:val="both"/>
        <w:rPr>
          <w:sz w:val="26"/>
        </w:rPr>
      </w:pPr>
    </w:p>
    <w:p w14:paraId="45000000">
      <w:pPr>
        <w:ind w:firstLine="708" w:left="0"/>
        <w:jc w:val="center"/>
        <w:rPr>
          <w:b w:val="1"/>
          <w:sz w:val="26"/>
        </w:rPr>
      </w:pPr>
      <w:r>
        <w:rPr>
          <w:b w:val="1"/>
          <w:sz w:val="26"/>
        </w:rPr>
        <w:t xml:space="preserve">Раздел 2. </w:t>
      </w:r>
    </w:p>
    <w:p w14:paraId="46000000">
      <w:pPr>
        <w:ind w:firstLine="708" w:left="0"/>
        <w:jc w:val="center"/>
        <w:rPr>
          <w:b w:val="1"/>
          <w:sz w:val="26"/>
        </w:rPr>
      </w:pPr>
      <w:r>
        <w:rPr>
          <w:b w:val="1"/>
          <w:sz w:val="26"/>
        </w:rPr>
        <w:t>Цели и задачи реализации Программы</w:t>
      </w:r>
    </w:p>
    <w:p w14:paraId="47000000">
      <w:pPr>
        <w:ind w:firstLine="708" w:left="0"/>
        <w:jc w:val="both"/>
        <w:rPr>
          <w:sz w:val="26"/>
        </w:rPr>
      </w:pPr>
    </w:p>
    <w:p w14:paraId="48000000">
      <w:pPr>
        <w:ind w:firstLine="708" w:left="0"/>
        <w:jc w:val="both"/>
        <w:rPr>
          <w:sz w:val="26"/>
        </w:rPr>
      </w:pPr>
      <w:r>
        <w:rPr>
          <w:sz w:val="26"/>
        </w:rPr>
        <w:t>Целями Программы является:</w:t>
      </w:r>
    </w:p>
    <w:p w14:paraId="49000000">
      <w:pPr>
        <w:ind w:firstLine="708" w:left="0"/>
        <w:jc w:val="both"/>
        <w:rPr>
          <w:sz w:val="26"/>
        </w:rPr>
      </w:pPr>
      <w:r>
        <w:rPr>
          <w:sz w:val="26"/>
        </w:rPr>
        <w:t>- стимулирование добросовестного соблюдения обязательных требований всеми контролируемыми лицами;</w:t>
      </w:r>
    </w:p>
    <w:p w14:paraId="4A000000">
      <w:pPr>
        <w:ind w:firstLine="708" w:left="0"/>
        <w:jc w:val="both"/>
        <w:rPr>
          <w:sz w:val="26"/>
        </w:rPr>
      </w:pPr>
      <w:r>
        <w:rPr>
          <w:sz w:val="26"/>
        </w:rPr>
        <w:t>- устранение условий, причин и факторов, способных привести к нарушениям обязательных требований и (или) причинению вреда (ущерба) охраняемым законом ценностям;</w:t>
      </w:r>
    </w:p>
    <w:p w14:paraId="4B000000">
      <w:pPr>
        <w:ind w:firstLine="708" w:left="0"/>
        <w:jc w:val="both"/>
        <w:rPr>
          <w:sz w:val="26"/>
        </w:rPr>
      </w:pPr>
      <w:r>
        <w:rPr>
          <w:sz w:val="26"/>
        </w:rPr>
        <w:t>- создание условий для доведения обязательных требований до контролируемых лиц, повышение информированности о способах их соблюдения.</w:t>
      </w:r>
    </w:p>
    <w:p w14:paraId="4C000000">
      <w:pPr>
        <w:ind w:firstLine="708" w:left="0"/>
        <w:jc w:val="both"/>
        <w:rPr>
          <w:sz w:val="26"/>
        </w:rPr>
      </w:pPr>
      <w:r>
        <w:rPr>
          <w:sz w:val="26"/>
        </w:rPr>
        <w:t xml:space="preserve">Задачами Программы являются: </w:t>
      </w:r>
    </w:p>
    <w:p w14:paraId="4D000000">
      <w:pPr>
        <w:ind w:firstLine="708" w:left="0"/>
        <w:jc w:val="both"/>
        <w:rPr>
          <w:sz w:val="26"/>
        </w:rPr>
      </w:pPr>
      <w:r>
        <w:rPr>
          <w:sz w:val="26"/>
        </w:rPr>
        <w:t>- выявление причин, факторов и условий, способствующих причинению вреда охраняемым законом ценностям и нарушению обязательных требований и требований, установленных муниципальными правовыми актами, определение способов устранения или снижения рисков их возникновения;</w:t>
      </w:r>
    </w:p>
    <w:p w14:paraId="4E000000">
      <w:pPr>
        <w:ind w:firstLine="708" w:left="0"/>
        <w:jc w:val="both"/>
        <w:rPr>
          <w:sz w:val="26"/>
        </w:rPr>
      </w:pPr>
      <w:r>
        <w:rPr>
          <w:sz w:val="26"/>
        </w:rPr>
        <w:t>- устранение причин, факторов и условий, способствующих возможному причинению вреда охраняемым законом ценностям и нарушению обязательных требований и требований, установленных муниципальными правовыми актами;</w:t>
      </w:r>
    </w:p>
    <w:p w14:paraId="4F000000">
      <w:pPr>
        <w:ind w:firstLine="708" w:left="0"/>
        <w:jc w:val="both"/>
        <w:rPr>
          <w:sz w:val="26"/>
        </w:rPr>
      </w:pPr>
      <w:r>
        <w:rPr>
          <w:sz w:val="26"/>
        </w:rPr>
        <w:t>- повышение правосознания и правовой культуры подконтрольных субъектов;</w:t>
      </w:r>
    </w:p>
    <w:p w14:paraId="50000000">
      <w:pPr>
        <w:ind w:firstLine="708" w:left="0"/>
        <w:jc w:val="both"/>
        <w:rPr>
          <w:sz w:val="26"/>
        </w:rPr>
      </w:pPr>
      <w:r>
        <w:rPr>
          <w:sz w:val="26"/>
        </w:rPr>
        <w:t>- формирование единого понимания обязательных требований и требований, установленных муниципальными правовыми актами, в соответствующей сфере у всех участников контрольно-надзорной деятельности.</w:t>
      </w:r>
    </w:p>
    <w:p w14:paraId="51000000">
      <w:pPr>
        <w:ind w:firstLine="708" w:left="0"/>
        <w:jc w:val="both"/>
        <w:rPr>
          <w:sz w:val="26"/>
        </w:rPr>
      </w:pPr>
    </w:p>
    <w:p w14:paraId="52000000">
      <w:pPr>
        <w:ind w:firstLine="708" w:left="0"/>
        <w:jc w:val="center"/>
        <w:rPr>
          <w:b w:val="1"/>
          <w:sz w:val="26"/>
        </w:rPr>
      </w:pPr>
      <w:r>
        <w:rPr>
          <w:b w:val="1"/>
          <w:sz w:val="26"/>
        </w:rPr>
        <w:t>Раздел 3.</w:t>
      </w:r>
    </w:p>
    <w:p w14:paraId="53000000">
      <w:pPr>
        <w:ind w:firstLine="708" w:left="0"/>
        <w:jc w:val="center"/>
        <w:rPr>
          <w:b w:val="1"/>
          <w:sz w:val="26"/>
        </w:rPr>
      </w:pPr>
      <w:r>
        <w:rPr>
          <w:b w:val="1"/>
          <w:sz w:val="26"/>
        </w:rPr>
        <w:t>Перечень профилактических мероприятий,</w:t>
      </w:r>
    </w:p>
    <w:p w14:paraId="54000000">
      <w:pPr>
        <w:ind w:firstLine="708" w:left="0"/>
        <w:jc w:val="center"/>
        <w:rPr>
          <w:b w:val="1"/>
          <w:sz w:val="26"/>
        </w:rPr>
      </w:pPr>
      <w:r>
        <w:rPr>
          <w:b w:val="1"/>
          <w:sz w:val="26"/>
        </w:rPr>
        <w:t>сроки (периодичность) их проведения</w:t>
      </w:r>
    </w:p>
    <w:p w14:paraId="55000000">
      <w:pPr>
        <w:ind w:firstLine="708" w:left="0"/>
        <w:jc w:val="both"/>
        <w:rPr>
          <w:b w:val="1"/>
          <w:sz w:val="26"/>
        </w:rPr>
      </w:pPr>
    </w:p>
    <w:tbl>
      <w:tblPr>
        <w:tblStyle w:val="Style_4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</w:tblPr>
      <w:tblGrid>
        <w:gridCol w:w="534"/>
        <w:gridCol w:w="2593"/>
        <w:gridCol w:w="3544"/>
        <w:gridCol w:w="2910"/>
      </w:tblGrid>
      <w:tr>
        <w:tc>
          <w:tcPr>
            <w:tcW w:type="dxa" w:w="5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56000000">
            <w:pPr>
              <w:ind w:right="-108"/>
              <w:rPr>
                <w:sz w:val="26"/>
              </w:rPr>
            </w:pPr>
            <w:r>
              <w:rPr>
                <w:sz w:val="26"/>
              </w:rPr>
              <w:t>№ п/п</w:t>
            </w:r>
          </w:p>
        </w:tc>
        <w:tc>
          <w:tcPr>
            <w:tcW w:type="dxa" w:w="25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57000000">
            <w:pPr>
              <w:ind/>
              <w:jc w:val="center"/>
              <w:rPr>
                <w:sz w:val="26"/>
              </w:rPr>
            </w:pPr>
            <w:r>
              <w:rPr>
                <w:sz w:val="26"/>
              </w:rPr>
              <w:t xml:space="preserve">Наименование </w:t>
            </w:r>
          </w:p>
          <w:p w14:paraId="58000000">
            <w:pPr>
              <w:ind/>
              <w:jc w:val="center"/>
              <w:rPr>
                <w:sz w:val="26"/>
              </w:rPr>
            </w:pPr>
            <w:r>
              <w:rPr>
                <w:sz w:val="26"/>
              </w:rPr>
              <w:t>мероприятия</w:t>
            </w:r>
          </w:p>
        </w:tc>
        <w:tc>
          <w:tcPr>
            <w:tcW w:type="dxa" w:w="354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59000000">
            <w:pPr>
              <w:ind/>
              <w:jc w:val="center"/>
              <w:rPr>
                <w:sz w:val="26"/>
              </w:rPr>
            </w:pPr>
            <w:r>
              <w:rPr>
                <w:sz w:val="26"/>
              </w:rPr>
              <w:t xml:space="preserve">Ответственный </w:t>
            </w:r>
          </w:p>
          <w:p w14:paraId="5A000000">
            <w:pPr>
              <w:ind/>
              <w:jc w:val="center"/>
              <w:rPr>
                <w:sz w:val="26"/>
              </w:rPr>
            </w:pPr>
            <w:r>
              <w:rPr>
                <w:sz w:val="26"/>
              </w:rPr>
              <w:t>исполнитель</w:t>
            </w:r>
          </w:p>
        </w:tc>
        <w:tc>
          <w:tcPr>
            <w:tcW w:type="dxa" w:w="29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5B000000">
            <w:pPr>
              <w:ind/>
              <w:jc w:val="center"/>
              <w:rPr>
                <w:sz w:val="26"/>
              </w:rPr>
            </w:pPr>
            <w:r>
              <w:rPr>
                <w:sz w:val="26"/>
              </w:rPr>
              <w:t>Срок (периодичность) исполнения</w:t>
            </w:r>
          </w:p>
        </w:tc>
      </w:tr>
      <w:tr>
        <w:tc>
          <w:tcPr>
            <w:tcW w:type="dxa" w:w="5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C000000">
            <w:pPr>
              <w:rPr>
                <w:sz w:val="26"/>
              </w:rPr>
            </w:pPr>
            <w:r>
              <w:rPr>
                <w:sz w:val="26"/>
              </w:rPr>
              <w:t>1</w:t>
            </w:r>
          </w:p>
        </w:tc>
        <w:tc>
          <w:tcPr>
            <w:tcW w:type="dxa" w:w="25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D000000">
            <w:pPr>
              <w:ind w:firstLine="33" w:left="0"/>
              <w:rPr>
                <w:sz w:val="26"/>
              </w:rPr>
            </w:pPr>
            <w:r>
              <w:rPr>
                <w:sz w:val="26"/>
              </w:rPr>
              <w:t>Информирование</w:t>
            </w:r>
          </w:p>
        </w:tc>
        <w:tc>
          <w:tcPr>
            <w:tcW w:type="dxa" w:w="354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E000000">
            <w:pPr>
              <w:rPr>
                <w:sz w:val="26"/>
              </w:rPr>
            </w:pPr>
            <w:r>
              <w:rPr>
                <w:sz w:val="26"/>
              </w:rPr>
              <w:t>Комитет по управлению имуществом администрации округа</w:t>
            </w:r>
          </w:p>
        </w:tc>
        <w:tc>
          <w:tcPr>
            <w:tcW w:type="dxa" w:w="29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F000000">
            <w:pPr>
              <w:rPr>
                <w:sz w:val="26"/>
              </w:rPr>
            </w:pPr>
            <w:r>
              <w:rPr>
                <w:sz w:val="26"/>
              </w:rPr>
              <w:t>Постоянно, в срок не позднее 5 рабочих дней с момента изменения соответствующих сведений</w:t>
            </w:r>
          </w:p>
        </w:tc>
      </w:tr>
      <w:tr>
        <w:tc>
          <w:tcPr>
            <w:tcW w:type="dxa" w:w="5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0000000">
            <w:pPr>
              <w:rPr>
                <w:sz w:val="26"/>
              </w:rPr>
            </w:pPr>
            <w:r>
              <w:rPr>
                <w:sz w:val="26"/>
              </w:rPr>
              <w:t>2.</w:t>
            </w:r>
          </w:p>
        </w:tc>
        <w:tc>
          <w:tcPr>
            <w:tcW w:type="dxa" w:w="25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1000000">
            <w:pPr>
              <w:ind w:firstLine="33" w:left="0"/>
              <w:rPr>
                <w:sz w:val="26"/>
              </w:rPr>
            </w:pPr>
            <w:r>
              <w:rPr>
                <w:sz w:val="26"/>
              </w:rPr>
              <w:t>Объявление предостережения</w:t>
            </w:r>
          </w:p>
        </w:tc>
        <w:tc>
          <w:tcPr>
            <w:tcW w:type="dxa" w:w="354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2000000">
            <w:pPr>
              <w:rPr>
                <w:sz w:val="26"/>
              </w:rPr>
            </w:pPr>
            <w:r>
              <w:rPr>
                <w:sz w:val="26"/>
              </w:rPr>
              <w:t>Комитет по управлению имуществом администрации округа</w:t>
            </w:r>
          </w:p>
        </w:tc>
        <w:tc>
          <w:tcPr>
            <w:tcW w:type="dxa" w:w="29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3000000">
            <w:pPr>
              <w:rPr>
                <w:sz w:val="26"/>
              </w:rPr>
            </w:pPr>
            <w:r>
              <w:rPr>
                <w:sz w:val="26"/>
              </w:rPr>
              <w:t>В течен</w:t>
            </w:r>
            <w:r>
              <w:rPr>
                <w:sz w:val="26"/>
              </w:rPr>
              <w:t>ие года (при наличии оснований)</w:t>
            </w:r>
          </w:p>
        </w:tc>
      </w:tr>
      <w:tr>
        <w:tc>
          <w:tcPr>
            <w:tcW w:type="dxa" w:w="5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4000000">
            <w:pPr>
              <w:rPr>
                <w:sz w:val="26"/>
              </w:rPr>
            </w:pPr>
            <w:r>
              <w:rPr>
                <w:sz w:val="26"/>
              </w:rPr>
              <w:t>3.</w:t>
            </w:r>
          </w:p>
        </w:tc>
        <w:tc>
          <w:tcPr>
            <w:tcW w:type="dxa" w:w="25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5000000">
            <w:pPr>
              <w:rPr>
                <w:sz w:val="26"/>
              </w:rPr>
            </w:pPr>
            <w:r>
              <w:rPr>
                <w:sz w:val="26"/>
              </w:rPr>
              <w:t>Консультирование</w:t>
            </w:r>
          </w:p>
        </w:tc>
        <w:tc>
          <w:tcPr>
            <w:tcW w:type="dxa" w:w="354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6000000">
            <w:pPr>
              <w:rPr>
                <w:sz w:val="26"/>
              </w:rPr>
            </w:pPr>
            <w:r>
              <w:rPr>
                <w:sz w:val="26"/>
              </w:rPr>
              <w:t>Комитет по управлению имуществом администрации округа</w:t>
            </w:r>
          </w:p>
        </w:tc>
        <w:tc>
          <w:tcPr>
            <w:tcW w:type="dxa" w:w="29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7000000">
            <w:pPr>
              <w:rPr>
                <w:sz w:val="26"/>
              </w:rPr>
            </w:pPr>
            <w:r>
              <w:rPr>
                <w:sz w:val="26"/>
              </w:rPr>
              <w:t>Постоянно, в течении года</w:t>
            </w:r>
          </w:p>
        </w:tc>
      </w:tr>
      <w:tr>
        <w:tc>
          <w:tcPr>
            <w:tcW w:type="dxa" w:w="5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8000000">
            <w:pPr>
              <w:rPr>
                <w:sz w:val="26"/>
              </w:rPr>
            </w:pPr>
            <w:r>
              <w:rPr>
                <w:sz w:val="26"/>
              </w:rPr>
              <w:t>4.</w:t>
            </w:r>
          </w:p>
        </w:tc>
        <w:tc>
          <w:tcPr>
            <w:tcW w:type="dxa" w:w="25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9000000">
            <w:pPr>
              <w:rPr>
                <w:sz w:val="26"/>
              </w:rPr>
            </w:pPr>
            <w:r>
              <w:rPr>
                <w:sz w:val="26"/>
              </w:rPr>
              <w:t>Профилактический визит</w:t>
            </w:r>
          </w:p>
        </w:tc>
        <w:tc>
          <w:tcPr>
            <w:tcW w:type="dxa" w:w="354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A000000">
            <w:pPr>
              <w:rPr>
                <w:sz w:val="26"/>
              </w:rPr>
            </w:pPr>
            <w:r>
              <w:rPr>
                <w:sz w:val="26"/>
              </w:rPr>
              <w:t>Комитет по управлению имуществом администрации округа</w:t>
            </w:r>
          </w:p>
        </w:tc>
        <w:tc>
          <w:tcPr>
            <w:tcW w:type="dxa" w:w="29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B000000">
            <w:pPr>
              <w:rPr>
                <w:sz w:val="26"/>
              </w:rPr>
            </w:pPr>
            <w:r>
              <w:rPr>
                <w:sz w:val="26"/>
              </w:rPr>
              <w:t>В</w:t>
            </w:r>
            <w:r>
              <w:rPr>
                <w:sz w:val="26"/>
              </w:rPr>
              <w:t xml:space="preserve"> течен</w:t>
            </w:r>
            <w:r>
              <w:rPr>
                <w:sz w:val="26"/>
              </w:rPr>
              <w:t>ие года (при наличии оснований)</w:t>
            </w:r>
          </w:p>
        </w:tc>
      </w:tr>
    </w:tbl>
    <w:p w14:paraId="6C000000">
      <w:pPr>
        <w:ind w:firstLine="708" w:left="0"/>
        <w:jc w:val="both"/>
        <w:rPr>
          <w:sz w:val="26"/>
        </w:rPr>
      </w:pPr>
    </w:p>
    <w:p w14:paraId="6D000000">
      <w:pPr>
        <w:ind w:firstLine="708" w:left="0"/>
        <w:jc w:val="both"/>
        <w:rPr>
          <w:sz w:val="26"/>
        </w:rPr>
      </w:pPr>
      <w:r>
        <w:rPr>
          <w:sz w:val="26"/>
        </w:rPr>
        <w:t>Информирование осуществляется посредством размещения сведений, предусмотренных частью 3 статьи 46 Федерального закона № 248-ФЗ, на официальном сайте Кирилловского муниципального округа в сети «Интернет», в средствах массовой информации, через личные кабинеты контролируемых лиц в государственных информационных системах (при их наличии) и в иных формах.</w:t>
      </w:r>
    </w:p>
    <w:p w14:paraId="6E000000">
      <w:pPr>
        <w:ind w:firstLine="708" w:left="0"/>
        <w:jc w:val="both"/>
        <w:rPr>
          <w:sz w:val="26"/>
        </w:rPr>
      </w:pPr>
      <w:r>
        <w:rPr>
          <w:sz w:val="26"/>
        </w:rPr>
        <w:t>Консультирование контролируемых лиц и их представителей осуществляется по обращениям контролируемых лиц и их представителей по вопросам, связанным с организацией и осуществлением муниципального жилищного контроля.</w:t>
      </w:r>
    </w:p>
    <w:p w14:paraId="6F000000">
      <w:pPr>
        <w:ind w:firstLine="708" w:left="0"/>
        <w:jc w:val="both"/>
        <w:rPr>
          <w:sz w:val="26"/>
        </w:rPr>
      </w:pPr>
      <w:r>
        <w:rPr>
          <w:sz w:val="26"/>
        </w:rPr>
        <w:t>Консультирование может осуществляться по телефону, посредством видео-конференц-связи, на личном приеме, либо в ходе проведения контрольных (надзорных) мероприятий.</w:t>
      </w:r>
    </w:p>
    <w:p w14:paraId="70000000">
      <w:pPr>
        <w:ind w:firstLine="708" w:left="0"/>
        <w:jc w:val="both"/>
        <w:rPr>
          <w:sz w:val="26"/>
        </w:rPr>
      </w:pPr>
      <w:r>
        <w:rPr>
          <w:sz w:val="26"/>
        </w:rPr>
        <w:t>Время консультирования не должно превышать 15 минут.</w:t>
      </w:r>
    </w:p>
    <w:p w14:paraId="71000000">
      <w:pPr>
        <w:ind w:firstLine="708" w:left="0"/>
        <w:jc w:val="both"/>
        <w:rPr>
          <w:sz w:val="26"/>
        </w:rPr>
      </w:pPr>
      <w:r>
        <w:rPr>
          <w:sz w:val="26"/>
        </w:rPr>
        <w:t>Личный прием граждан проводится:</w:t>
      </w:r>
    </w:p>
    <w:p w14:paraId="72000000">
      <w:pPr>
        <w:ind w:firstLine="708" w:left="0"/>
        <w:jc w:val="both"/>
        <w:rPr>
          <w:sz w:val="26"/>
        </w:rPr>
      </w:pPr>
      <w:r>
        <w:rPr>
          <w:sz w:val="26"/>
        </w:rPr>
        <w:t>председателем комитета по управлению имуществом администрации округа</w:t>
      </w:r>
    </w:p>
    <w:p w14:paraId="73000000">
      <w:pPr>
        <w:ind w:firstLine="708" w:left="0"/>
        <w:jc w:val="both"/>
        <w:rPr>
          <w:sz w:val="26"/>
        </w:rPr>
      </w:pPr>
      <w:r>
        <w:rPr>
          <w:sz w:val="26"/>
        </w:rPr>
        <w:t>главным специалистом комитета по управлению имуществом администрации округа,</w:t>
      </w:r>
    </w:p>
    <w:p w14:paraId="74000000">
      <w:pPr>
        <w:ind w:firstLine="708" w:left="0"/>
        <w:jc w:val="both"/>
        <w:rPr>
          <w:sz w:val="26"/>
        </w:rPr>
      </w:pPr>
      <w:r>
        <w:rPr>
          <w:sz w:val="26"/>
        </w:rPr>
        <w:t>Информация о месте приема, а также об установленных для приема днях и часах размещается на официальном сайте Кирилловского муниципального округа в информационно-телекоммуникационной сети «Интернет».</w:t>
      </w:r>
    </w:p>
    <w:p w14:paraId="75000000">
      <w:pPr>
        <w:ind w:firstLine="708" w:left="0"/>
        <w:jc w:val="both"/>
        <w:rPr>
          <w:sz w:val="26"/>
        </w:rPr>
      </w:pPr>
      <w:r>
        <w:rPr>
          <w:sz w:val="26"/>
        </w:rPr>
        <w:t>Консультирование осуществляется по следующим вопросам:</w:t>
      </w:r>
    </w:p>
    <w:p w14:paraId="76000000">
      <w:pPr>
        <w:ind w:firstLine="708" w:left="0"/>
        <w:jc w:val="both"/>
        <w:rPr>
          <w:sz w:val="26"/>
        </w:rPr>
      </w:pPr>
      <w:r>
        <w:rPr>
          <w:sz w:val="26"/>
        </w:rPr>
        <w:t>- организация и осуществление муниципального жилищного контроля;</w:t>
      </w:r>
    </w:p>
    <w:p w14:paraId="77000000">
      <w:pPr>
        <w:ind w:firstLine="708" w:left="0"/>
        <w:jc w:val="both"/>
        <w:rPr>
          <w:sz w:val="26"/>
        </w:rPr>
      </w:pPr>
      <w:r>
        <w:rPr>
          <w:sz w:val="26"/>
        </w:rPr>
        <w:t>- порядок осуществления контрольных мероприятий.</w:t>
      </w:r>
    </w:p>
    <w:p w14:paraId="78000000">
      <w:pPr>
        <w:tabs>
          <w:tab w:leader="none" w:pos="0" w:val="left"/>
        </w:tabs>
        <w:ind w:firstLine="709" w:left="0" w:right="-5"/>
        <w:jc w:val="both"/>
        <w:rPr>
          <w:sz w:val="26"/>
        </w:rPr>
      </w:pPr>
      <w:r>
        <w:rPr>
          <w:sz w:val="26"/>
        </w:rPr>
        <w:t>Контролируемое лицо вправе направить в контрольный орган запрос о предоставлении письменного ответа об организации и осуществлении муниципального жилищного контроля, в порядке и в сроки, установленные Федеральным законом от 02.05.2006 № 59-ФЗ «О порядке рассмотрения обращений граждан Российской Федерации».</w:t>
      </w:r>
    </w:p>
    <w:p w14:paraId="79000000">
      <w:pPr>
        <w:widowControl w:val="0"/>
        <w:ind w:firstLine="708" w:left="0"/>
        <w:jc w:val="both"/>
        <w:rPr>
          <w:sz w:val="26"/>
        </w:rPr>
      </w:pPr>
      <w:r>
        <w:rPr>
          <w:sz w:val="26"/>
        </w:rPr>
        <w:t xml:space="preserve">В случае поступления письменного запроса, </w:t>
      </w:r>
      <w:r>
        <w:rPr>
          <w:sz w:val="26"/>
        </w:rPr>
        <w:t>последний  подлежит</w:t>
      </w:r>
      <w:r>
        <w:rPr>
          <w:sz w:val="26"/>
        </w:rPr>
        <w:t xml:space="preserve"> обязательной регистрации не позднее следующего рабочего дня со дня его поступления специалистом Комитета, ответственным за регистрацию корреспонденции.</w:t>
      </w:r>
    </w:p>
    <w:p w14:paraId="7A000000">
      <w:pPr>
        <w:widowControl w:val="0"/>
        <w:ind w:firstLine="708" w:left="0"/>
        <w:jc w:val="both"/>
        <w:rPr>
          <w:sz w:val="26"/>
        </w:rPr>
      </w:pPr>
      <w:r>
        <w:rPr>
          <w:sz w:val="26"/>
        </w:rPr>
        <w:t>Не позднее следующего рабочего дня со дня регистрации поступившего запроса, последний передается на рассмотрение председателя Комитета для определения лица, ответственного за подготовку ответа контролируемому лицу.</w:t>
      </w:r>
    </w:p>
    <w:p w14:paraId="7B000000">
      <w:pPr>
        <w:widowControl w:val="0"/>
        <w:ind w:firstLine="708" w:left="0"/>
        <w:jc w:val="both"/>
        <w:rPr>
          <w:sz w:val="26"/>
        </w:rPr>
      </w:pPr>
      <w:r>
        <w:rPr>
          <w:sz w:val="26"/>
        </w:rPr>
        <w:t>Председатель Комитета не позднее следующего рабочего дня со дня передачи ему письменного запроса, передает его специалисту, уполномоченному на подготовку ответа.</w:t>
      </w:r>
    </w:p>
    <w:p w14:paraId="7C000000">
      <w:pPr>
        <w:widowControl w:val="0"/>
        <w:ind w:firstLine="708" w:left="0"/>
        <w:jc w:val="both"/>
        <w:rPr>
          <w:sz w:val="26"/>
        </w:rPr>
      </w:pPr>
      <w:r>
        <w:rPr>
          <w:sz w:val="26"/>
        </w:rPr>
        <w:t>Рассмотрение поступившего письменного запроса осуществляется уполномоченным специалистом Комитета в сроки, установленные Федеральным законом от 02.05.2006 № 59-ФЗ «О порядке рассмотрения обращений граждан Российской Федерации».</w:t>
      </w:r>
    </w:p>
    <w:p w14:paraId="7D000000">
      <w:pPr>
        <w:widowControl w:val="0"/>
        <w:ind w:firstLine="708" w:left="0"/>
        <w:jc w:val="both"/>
        <w:rPr>
          <w:sz w:val="26"/>
        </w:rPr>
      </w:pPr>
      <w:r>
        <w:rPr>
          <w:sz w:val="26"/>
        </w:rPr>
        <w:t>Ответ на письменный запрос за подписью председателя Комитета направляется в адрес контролируемого лица простым письмом посредством Почты России специалистом Комитета, ответственным за   регистрацию корреспонденции в срок не позднее 30 дней с момента поступления запроса, о чем делается соответствующая регистрационная запись в журнале исходящей корреспонденции.</w:t>
      </w:r>
    </w:p>
    <w:p w14:paraId="7E000000">
      <w:pPr>
        <w:widowControl w:val="0"/>
        <w:ind w:firstLine="708" w:left="0"/>
        <w:jc w:val="both"/>
        <w:rPr>
          <w:sz w:val="24"/>
        </w:rPr>
      </w:pPr>
      <w:r>
        <w:rPr>
          <w:sz w:val="26"/>
        </w:rPr>
        <w:t>Сведения об ответе в день его направления контролируемому лицу также вносятся специалистом Комитета, ответственным за подготовку ответа, в журнале учета консультирований.</w:t>
      </w:r>
    </w:p>
    <w:p w14:paraId="7F000000">
      <w:pPr>
        <w:ind w:firstLine="708" w:left="0"/>
        <w:jc w:val="both"/>
        <w:rPr>
          <w:sz w:val="26"/>
        </w:rPr>
      </w:pPr>
      <w:r>
        <w:rPr>
          <w:sz w:val="26"/>
        </w:rPr>
        <w:t>Если поставленные во время консультирования вопросы не относятся к сфере муниципального жилищного контроля, то даются необходимые разъяснения по обращению в соответствующие органы власти или к соответствующим должностным лицам.</w:t>
      </w:r>
    </w:p>
    <w:p w14:paraId="80000000">
      <w:pPr>
        <w:ind w:firstLine="708" w:left="0"/>
        <w:jc w:val="both"/>
        <w:rPr>
          <w:sz w:val="26"/>
        </w:rPr>
      </w:pPr>
      <w:r>
        <w:rPr>
          <w:sz w:val="26"/>
        </w:rPr>
        <w:t>При проведении консультирования во время контрольных мероприятий запись о проведенной консультации отражается в акте контрольного мероприятия без внесения записи в журнал учета консультирований.</w:t>
      </w:r>
    </w:p>
    <w:p w14:paraId="81000000">
      <w:pPr>
        <w:ind w:firstLine="708" w:left="0"/>
        <w:jc w:val="both"/>
        <w:rPr>
          <w:sz w:val="26"/>
        </w:rPr>
      </w:pPr>
      <w:r>
        <w:rPr>
          <w:sz w:val="26"/>
        </w:rPr>
        <w:t>В случае, если в течение календарного года поступило пять и более однотипных (по одним и тем же вопросам) обращений контролируемых лиц, консультирование по таким обращениям осуществляется посредством размещения на официальном сайте Кирилловского муниципального округа письменного разъяснения, подписанного уполномоченным должностным лицом, без указания в таком разъяснении сведений, отнесенных к категории ограниченного доступа.</w:t>
      </w:r>
    </w:p>
    <w:p w14:paraId="82000000">
      <w:pPr>
        <w:ind w:firstLine="708" w:left="0"/>
        <w:jc w:val="both"/>
        <w:rPr>
          <w:sz w:val="26"/>
        </w:rPr>
      </w:pPr>
      <w:r>
        <w:rPr>
          <w:sz w:val="26"/>
        </w:rPr>
        <w:t>Мероприятия, предусмотренные Программой, применяются в отношении объектов контроля, относящихся к категориям риска, установленным Положением о муниципальном жилищном контроле.</w:t>
      </w:r>
    </w:p>
    <w:p w14:paraId="83000000">
      <w:pPr>
        <w:ind w:firstLine="708" w:left="0"/>
        <w:jc w:val="both"/>
        <w:rPr>
          <w:sz w:val="26"/>
        </w:rPr>
      </w:pPr>
    </w:p>
    <w:p w14:paraId="84000000">
      <w:pPr>
        <w:ind w:firstLine="708" w:left="0"/>
        <w:jc w:val="both"/>
        <w:rPr>
          <w:sz w:val="26"/>
        </w:rPr>
      </w:pPr>
      <w:r>
        <w:rPr>
          <w:sz w:val="26"/>
        </w:rPr>
        <w:t>4. Показатели результативности и эффективности Программы</w:t>
      </w:r>
    </w:p>
    <w:p w14:paraId="85000000">
      <w:pPr>
        <w:ind w:firstLine="708" w:left="0"/>
        <w:jc w:val="both"/>
        <w:rPr>
          <w:sz w:val="26"/>
        </w:rPr>
      </w:pPr>
    </w:p>
    <w:p w14:paraId="86000000">
      <w:pPr>
        <w:ind w:firstLine="708" w:left="0"/>
        <w:jc w:val="both"/>
        <w:rPr>
          <w:sz w:val="26"/>
        </w:rPr>
      </w:pPr>
      <w:r>
        <w:rPr>
          <w:sz w:val="26"/>
        </w:rPr>
        <w:t>К показателям результативности и эффективности Программы относятся:</w:t>
      </w:r>
    </w:p>
    <w:p w14:paraId="87000000">
      <w:pPr>
        <w:ind w:firstLine="708" w:left="0"/>
        <w:jc w:val="both"/>
        <w:rPr>
          <w:sz w:val="26"/>
        </w:rPr>
      </w:pPr>
      <w:r>
        <w:rPr>
          <w:sz w:val="26"/>
        </w:rPr>
        <w:t xml:space="preserve">- количество установленных случаев причинения контролируемыми лицами вреда жизни и здоровью граждан, животным, растениям, окружающей среде, объектам </w:t>
      </w:r>
      <w:r>
        <w:rPr>
          <w:sz w:val="26"/>
        </w:rPr>
        <w:t>культурного наследия (памятникам истории и культуры) народов Российской Федерации, имуществу физических и юридических лиц, безопасности государства, а также чрезвычайных ситуаций природного и техногенного характера;</w:t>
      </w:r>
    </w:p>
    <w:p w14:paraId="88000000">
      <w:pPr>
        <w:ind w:firstLine="708" w:left="0"/>
        <w:jc w:val="both"/>
        <w:rPr>
          <w:sz w:val="26"/>
        </w:rPr>
      </w:pPr>
      <w:r>
        <w:rPr>
          <w:sz w:val="26"/>
        </w:rPr>
        <w:t>- количество случаев принятия контролируемыми лицами мер по обеспечению соблюдения обязательных требований.</w:t>
      </w:r>
    </w:p>
    <w:sectPr>
      <w:headerReference r:id="rId1" w:type="default"/>
      <w:footerReference r:id="rId2" w:type="default"/>
      <w:pgSz w:h="16840" w:orient="portrait" w:w="11907"/>
      <w:pgMar w:bottom="624" w:footer="454" w:gutter="0" w:header="454" w:left="1701" w:right="624" w:top="567"/>
      <w:titlePg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footer2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p w14:paraId="03000000">
    <w:pPr>
      <w:pStyle w:val="Style_2"/>
    </w:pPr>
    <w:r>
      <w:rPr>
        <w:sz w:val="14"/>
      </w:rPr>
      <w:t xml:space="preserve"> </w:t>
    </w:r>
  </w:p>
  <w:p w14:paraId="04000000">
    <w:pPr>
      <w:pStyle w:val="Style_2"/>
    </w:pPr>
  </w:p>
</w:ftr>
</file>

<file path=word/header1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p>
    <w:pPr>
      <w:framePr w:hAnchor="margin" w:vAnchor="text" w:wrap="around" w:xAlign="center" w:y="1"/>
    </w:pPr>
    <w:r>
      <w:fldChar w:fldCharType="begin"/>
    </w:r>
    <w:r>
      <w:instrText xml:space="preserve">PAGE </w:instrText>
    </w:r>
    <w:r>
      <w:fldChar w:fldCharType="separate"/>
    </w:r>
    <w:r>
      <w:fldChar w:fldCharType="end"/>
    </w:r>
  </w:p>
  <w:p w14:paraId="01000000">
    <w:pPr>
      <w:pStyle w:val="Style_1"/>
      <w:ind/>
      <w:jc w:val="center"/>
    </w:pPr>
  </w:p>
  <w:p w14:paraId="02000000">
    <w:pPr>
      <w:pStyle w:val="Style_1"/>
    </w:pPr>
  </w:p>
</w:hdr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Times New Roman" w:hAnsi="Times New Roman"/>
        <w:color w:val="000000"/>
        <w:spacing w:val="0"/>
        <w:sz w:val="20"/>
      </w:rPr>
    </w:rPrDefault>
    <w:pPrDefault>
      <w:pPr>
        <w:spacing w:after="0" w:before="0" w:line="240" w:lineRule="auto"/>
        <w:ind w:firstLine="0" w:left="0" w:right="0"/>
        <w:jc w:val="left"/>
      </w:pPr>
    </w:pPrDefault>
  </w:docDefaults>
  <w:latentStyles w:count="24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0" w:uiPriority="9" w:unhideWhenUsed="0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7" w:type="paragraph">
    <w:name w:val="Normal"/>
    <w:link w:val="Style_7_ch"/>
    <w:uiPriority w:val="0"/>
    <w:qFormat/>
  </w:style>
  <w:style w:default="1" w:styleId="Style_7_ch" w:type="character">
    <w:name w:val="Normal"/>
    <w:link w:val="Style_7"/>
  </w:style>
  <w:style w:styleId="Style_8" w:type="paragraph">
    <w:name w:val="toc 2"/>
    <w:next w:val="Style_7"/>
    <w:link w:val="Style_8_ch"/>
    <w:uiPriority w:val="39"/>
    <w:pPr>
      <w:ind w:firstLine="0" w:left="200"/>
    </w:pPr>
    <w:rPr>
      <w:rFonts w:ascii="XO Thames" w:hAnsi="XO Thames"/>
      <w:sz w:val="28"/>
    </w:rPr>
  </w:style>
  <w:style w:styleId="Style_8_ch" w:type="character">
    <w:name w:val="toc 2"/>
    <w:link w:val="Style_8"/>
    <w:rPr>
      <w:rFonts w:ascii="XO Thames" w:hAnsi="XO Thames"/>
      <w:sz w:val="28"/>
    </w:rPr>
  </w:style>
  <w:style w:styleId="Style_9" w:type="paragraph">
    <w:name w:val="toc 4"/>
    <w:next w:val="Style_7"/>
    <w:link w:val="Style_9_ch"/>
    <w:uiPriority w:val="39"/>
    <w:pPr>
      <w:ind w:firstLine="0" w:left="600"/>
    </w:pPr>
    <w:rPr>
      <w:rFonts w:ascii="XO Thames" w:hAnsi="XO Thames"/>
      <w:sz w:val="28"/>
    </w:rPr>
  </w:style>
  <w:style w:styleId="Style_9_ch" w:type="character">
    <w:name w:val="toc 4"/>
    <w:link w:val="Style_9"/>
    <w:rPr>
      <w:rFonts w:ascii="XO Thames" w:hAnsi="XO Thames"/>
      <w:sz w:val="28"/>
    </w:rPr>
  </w:style>
  <w:style w:styleId="Style_10" w:type="paragraph">
    <w:name w:val="heading 7"/>
    <w:basedOn w:val="Style_7"/>
    <w:next w:val="Style_7"/>
    <w:link w:val="Style_10_ch"/>
    <w:uiPriority w:val="9"/>
    <w:qFormat/>
    <w:pPr>
      <w:keepNext w:val="1"/>
      <w:ind/>
      <w:outlineLvl w:val="6"/>
    </w:pPr>
    <w:rPr>
      <w:b w:val="1"/>
      <w:i w:val="1"/>
      <w:sz w:val="26"/>
    </w:rPr>
  </w:style>
  <w:style w:styleId="Style_10_ch" w:type="character">
    <w:name w:val="heading 7"/>
    <w:basedOn w:val="Style_7_ch"/>
    <w:link w:val="Style_10"/>
    <w:rPr>
      <w:b w:val="1"/>
      <w:i w:val="1"/>
      <w:sz w:val="26"/>
    </w:rPr>
  </w:style>
  <w:style w:styleId="Style_11" w:type="paragraph">
    <w:name w:val="toc 6"/>
    <w:next w:val="Style_7"/>
    <w:link w:val="Style_11_ch"/>
    <w:uiPriority w:val="39"/>
    <w:pPr>
      <w:ind w:firstLine="0" w:left="1000"/>
    </w:pPr>
    <w:rPr>
      <w:rFonts w:ascii="XO Thames" w:hAnsi="XO Thames"/>
      <w:sz w:val="28"/>
    </w:rPr>
  </w:style>
  <w:style w:styleId="Style_11_ch" w:type="character">
    <w:name w:val="toc 6"/>
    <w:link w:val="Style_11"/>
    <w:rPr>
      <w:rFonts w:ascii="XO Thames" w:hAnsi="XO Thames"/>
      <w:sz w:val="28"/>
    </w:rPr>
  </w:style>
  <w:style w:styleId="Style_12" w:type="paragraph">
    <w:name w:val="toc 7"/>
    <w:next w:val="Style_7"/>
    <w:link w:val="Style_12_ch"/>
    <w:uiPriority w:val="39"/>
    <w:pPr>
      <w:ind w:firstLine="0" w:left="1200"/>
    </w:pPr>
    <w:rPr>
      <w:rFonts w:ascii="XO Thames" w:hAnsi="XO Thames"/>
      <w:sz w:val="28"/>
    </w:rPr>
  </w:style>
  <w:style w:styleId="Style_12_ch" w:type="character">
    <w:name w:val="toc 7"/>
    <w:link w:val="Style_12"/>
    <w:rPr>
      <w:rFonts w:ascii="XO Thames" w:hAnsi="XO Thames"/>
      <w:sz w:val="28"/>
    </w:rPr>
  </w:style>
  <w:style w:styleId="Style_13" w:type="paragraph">
    <w:name w:val="Style7"/>
    <w:basedOn w:val="Style_7"/>
    <w:link w:val="Style_13_ch"/>
    <w:pPr>
      <w:widowControl w:val="0"/>
      <w:spacing w:line="312" w:lineRule="exact"/>
      <w:ind w:firstLine="706" w:left="0"/>
    </w:pPr>
    <w:rPr>
      <w:sz w:val="24"/>
    </w:rPr>
  </w:style>
  <w:style w:styleId="Style_13_ch" w:type="character">
    <w:name w:val="Style7"/>
    <w:basedOn w:val="Style_7_ch"/>
    <w:link w:val="Style_13"/>
    <w:rPr>
      <w:sz w:val="24"/>
    </w:rPr>
  </w:style>
  <w:style w:styleId="Style_14" w:type="paragraph">
    <w:name w:val="Endnote"/>
    <w:link w:val="Style_14_ch"/>
    <w:pPr>
      <w:ind w:firstLine="851" w:left="0"/>
      <w:jc w:val="both"/>
    </w:pPr>
    <w:rPr>
      <w:rFonts w:ascii="XO Thames" w:hAnsi="XO Thames"/>
      <w:sz w:val="22"/>
    </w:rPr>
  </w:style>
  <w:style w:styleId="Style_14_ch" w:type="character">
    <w:name w:val="Endnote"/>
    <w:link w:val="Style_14"/>
    <w:rPr>
      <w:rFonts w:ascii="XO Thames" w:hAnsi="XO Thames"/>
      <w:sz w:val="22"/>
    </w:rPr>
  </w:style>
  <w:style w:styleId="Style_15" w:type="paragraph">
    <w:name w:val="heading 3"/>
    <w:basedOn w:val="Style_7"/>
    <w:next w:val="Style_7"/>
    <w:link w:val="Style_15_ch"/>
    <w:uiPriority w:val="9"/>
    <w:qFormat/>
    <w:pPr>
      <w:keepNext w:val="1"/>
      <w:ind/>
      <w:jc w:val="center"/>
      <w:outlineLvl w:val="2"/>
    </w:pPr>
    <w:rPr>
      <w:b w:val="1"/>
      <w:sz w:val="28"/>
    </w:rPr>
  </w:style>
  <w:style w:styleId="Style_15_ch" w:type="character">
    <w:name w:val="heading 3"/>
    <w:basedOn w:val="Style_7_ch"/>
    <w:link w:val="Style_15"/>
    <w:rPr>
      <w:b w:val="1"/>
      <w:sz w:val="28"/>
    </w:rPr>
  </w:style>
  <w:style w:styleId="Style_16" w:type="paragraph">
    <w:name w:val="Body Text"/>
    <w:basedOn w:val="Style_7"/>
    <w:link w:val="Style_16_ch"/>
    <w:rPr>
      <w:sz w:val="28"/>
    </w:rPr>
  </w:style>
  <w:style w:styleId="Style_16_ch" w:type="character">
    <w:name w:val="Body Text"/>
    <w:basedOn w:val="Style_7_ch"/>
    <w:link w:val="Style_16"/>
    <w:rPr>
      <w:sz w:val="28"/>
    </w:rPr>
  </w:style>
  <w:style w:styleId="Style_17" w:type="paragraph">
    <w:name w:val="Body Text Indent 2"/>
    <w:basedOn w:val="Style_7"/>
    <w:link w:val="Style_17_ch"/>
    <w:pPr>
      <w:spacing w:after="120" w:line="480" w:lineRule="auto"/>
      <w:ind w:firstLine="0" w:left="283"/>
    </w:pPr>
    <w:rPr>
      <w:sz w:val="24"/>
    </w:rPr>
  </w:style>
  <w:style w:styleId="Style_17_ch" w:type="character">
    <w:name w:val="Body Text Indent 2"/>
    <w:basedOn w:val="Style_7_ch"/>
    <w:link w:val="Style_17"/>
    <w:rPr>
      <w:sz w:val="24"/>
    </w:rPr>
  </w:style>
  <w:style w:styleId="Style_18" w:type="paragraph">
    <w:name w:val="Balloon Text"/>
    <w:basedOn w:val="Style_7"/>
    <w:link w:val="Style_18_ch"/>
    <w:rPr>
      <w:rFonts w:ascii="Tahoma" w:hAnsi="Tahoma"/>
      <w:sz w:val="16"/>
    </w:rPr>
  </w:style>
  <w:style w:styleId="Style_18_ch" w:type="character">
    <w:name w:val="Balloon Text"/>
    <w:basedOn w:val="Style_7_ch"/>
    <w:link w:val="Style_18"/>
    <w:rPr>
      <w:rFonts w:ascii="Tahoma" w:hAnsi="Tahoma"/>
      <w:sz w:val="16"/>
    </w:rPr>
  </w:style>
  <w:style w:styleId="Style_19" w:type="paragraph">
    <w:name w:val="Основной шрифт абзаца1"/>
    <w:link w:val="Style_19_ch"/>
  </w:style>
  <w:style w:styleId="Style_19_ch" w:type="character">
    <w:name w:val="Основной шрифт абзаца1"/>
    <w:link w:val="Style_19"/>
  </w:style>
  <w:style w:styleId="Style_20" w:type="paragraph">
    <w:name w:val="ConsPlusNonformat"/>
    <w:link w:val="Style_20_ch"/>
    <w:pPr>
      <w:widowControl w:val="0"/>
      <w:ind/>
    </w:pPr>
    <w:rPr>
      <w:rFonts w:ascii="Courier New" w:hAnsi="Courier New"/>
    </w:rPr>
  </w:style>
  <w:style w:styleId="Style_20_ch" w:type="character">
    <w:name w:val="ConsPlusNonformat"/>
    <w:link w:val="Style_20"/>
    <w:rPr>
      <w:rFonts w:ascii="Courier New" w:hAnsi="Courier New"/>
    </w:rPr>
  </w:style>
  <w:style w:styleId="Style_5" w:type="paragraph">
    <w:name w:val="ConsPlusTitle"/>
    <w:link w:val="Style_5_ch"/>
    <w:pPr>
      <w:widowControl w:val="0"/>
      <w:ind/>
    </w:pPr>
    <w:rPr>
      <w:rFonts w:ascii="Calibri" w:hAnsi="Calibri"/>
      <w:b w:val="1"/>
      <w:sz w:val="22"/>
    </w:rPr>
  </w:style>
  <w:style w:styleId="Style_5_ch" w:type="character">
    <w:name w:val="ConsPlusTitle"/>
    <w:link w:val="Style_5"/>
    <w:rPr>
      <w:rFonts w:ascii="Calibri" w:hAnsi="Calibri"/>
      <w:b w:val="1"/>
      <w:sz w:val="22"/>
    </w:rPr>
  </w:style>
  <w:style w:styleId="Style_21" w:type="paragraph">
    <w:name w:val="toc 3"/>
    <w:next w:val="Style_7"/>
    <w:link w:val="Style_21_ch"/>
    <w:uiPriority w:val="39"/>
    <w:pPr>
      <w:ind w:firstLine="0" w:left="400"/>
    </w:pPr>
    <w:rPr>
      <w:rFonts w:ascii="XO Thames" w:hAnsi="XO Thames"/>
      <w:sz w:val="28"/>
    </w:rPr>
  </w:style>
  <w:style w:styleId="Style_21_ch" w:type="character">
    <w:name w:val="toc 3"/>
    <w:link w:val="Style_21"/>
    <w:rPr>
      <w:rFonts w:ascii="XO Thames" w:hAnsi="XO Thames"/>
      <w:sz w:val="28"/>
    </w:rPr>
  </w:style>
  <w:style w:styleId="Style_22" w:type="paragraph">
    <w:name w:val="Normal (Web)"/>
    <w:basedOn w:val="Style_7"/>
    <w:link w:val="Style_22_ch"/>
    <w:pPr>
      <w:spacing w:afterAutospacing="on" w:beforeAutospacing="on"/>
      <w:ind/>
    </w:pPr>
    <w:rPr>
      <w:sz w:val="24"/>
    </w:rPr>
  </w:style>
  <w:style w:styleId="Style_22_ch" w:type="character">
    <w:name w:val="Normal (Web)"/>
    <w:basedOn w:val="Style_7_ch"/>
    <w:link w:val="Style_22"/>
    <w:rPr>
      <w:sz w:val="24"/>
    </w:rPr>
  </w:style>
  <w:style w:styleId="Style_23" w:type="paragraph">
    <w:name w:val="consnormal"/>
    <w:basedOn w:val="Style_7"/>
    <w:link w:val="Style_23_ch"/>
    <w:pPr>
      <w:spacing w:after="15" w:before="15"/>
      <w:ind w:firstLine="225" w:left="15" w:right="15"/>
    </w:pPr>
    <w:rPr>
      <w:sz w:val="24"/>
    </w:rPr>
  </w:style>
  <w:style w:styleId="Style_23_ch" w:type="character">
    <w:name w:val="consnormal"/>
    <w:basedOn w:val="Style_7_ch"/>
    <w:link w:val="Style_23"/>
    <w:rPr>
      <w:sz w:val="24"/>
    </w:rPr>
  </w:style>
  <w:style w:styleId="Style_24" w:type="paragraph">
    <w:name w:val="heading 5"/>
    <w:next w:val="Style_7"/>
    <w:link w:val="Style_24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24_ch" w:type="character">
    <w:name w:val="heading 5"/>
    <w:link w:val="Style_24"/>
    <w:rPr>
      <w:rFonts w:ascii="XO Thames" w:hAnsi="XO Thames"/>
      <w:b w:val="1"/>
      <w:sz w:val="22"/>
    </w:rPr>
  </w:style>
  <w:style w:styleId="Style_25" w:type="paragraph">
    <w:name w:val="Default Paragraph Font"/>
    <w:link w:val="Style_25_ch"/>
  </w:style>
  <w:style w:styleId="Style_25_ch" w:type="character">
    <w:name w:val="Default Paragraph Font"/>
    <w:link w:val="Style_25"/>
  </w:style>
  <w:style w:styleId="Style_6" w:type="paragraph">
    <w:name w:val="No Spacing"/>
    <w:link w:val="Style_6_ch"/>
    <w:pPr>
      <w:widowControl w:val="0"/>
      <w:ind/>
      <w:jc w:val="both"/>
    </w:pPr>
    <w:rPr>
      <w:sz w:val="24"/>
    </w:rPr>
  </w:style>
  <w:style w:styleId="Style_6_ch" w:type="character">
    <w:name w:val="No Spacing"/>
    <w:link w:val="Style_6"/>
    <w:rPr>
      <w:sz w:val="24"/>
    </w:rPr>
  </w:style>
  <w:style w:styleId="Style_1" w:type="paragraph">
    <w:name w:val="header"/>
    <w:basedOn w:val="Style_7"/>
    <w:link w:val="Style_1_ch"/>
    <w:pPr>
      <w:tabs>
        <w:tab w:leader="none" w:pos="4153" w:val="center"/>
        <w:tab w:leader="none" w:pos="8306" w:val="right"/>
      </w:tabs>
      <w:ind/>
    </w:pPr>
  </w:style>
  <w:style w:styleId="Style_1_ch" w:type="character">
    <w:name w:val="header"/>
    <w:basedOn w:val="Style_7_ch"/>
    <w:link w:val="Style_1"/>
  </w:style>
  <w:style w:styleId="Style_26" w:type="paragraph">
    <w:name w:val="heading 1"/>
    <w:basedOn w:val="Style_7"/>
    <w:next w:val="Style_7"/>
    <w:link w:val="Style_26_ch"/>
    <w:uiPriority w:val="9"/>
    <w:qFormat/>
    <w:pPr>
      <w:keepNext w:val="1"/>
      <w:ind/>
      <w:outlineLvl w:val="0"/>
    </w:pPr>
    <w:rPr>
      <w:sz w:val="28"/>
    </w:rPr>
  </w:style>
  <w:style w:styleId="Style_26_ch" w:type="character">
    <w:name w:val="heading 1"/>
    <w:basedOn w:val="Style_7_ch"/>
    <w:link w:val="Style_26"/>
    <w:rPr>
      <w:sz w:val="28"/>
    </w:rPr>
  </w:style>
  <w:style w:styleId="Style_27" w:type="paragraph">
    <w:name w:val="Hyperlink"/>
    <w:link w:val="Style_27_ch"/>
    <w:rPr>
      <w:color w:val="0000FF"/>
      <w:u w:val="single"/>
    </w:rPr>
  </w:style>
  <w:style w:styleId="Style_27_ch" w:type="character">
    <w:name w:val="Hyperlink"/>
    <w:link w:val="Style_27"/>
    <w:rPr>
      <w:color w:val="0000FF"/>
      <w:u w:val="single"/>
    </w:rPr>
  </w:style>
  <w:style w:styleId="Style_28" w:type="paragraph">
    <w:name w:val="Footnote"/>
    <w:link w:val="Style_28_ch"/>
    <w:pPr>
      <w:ind w:firstLine="851" w:left="0"/>
      <w:jc w:val="both"/>
    </w:pPr>
    <w:rPr>
      <w:rFonts w:ascii="XO Thames" w:hAnsi="XO Thames"/>
      <w:sz w:val="22"/>
    </w:rPr>
  </w:style>
  <w:style w:styleId="Style_28_ch" w:type="character">
    <w:name w:val="Footnote"/>
    <w:link w:val="Style_28"/>
    <w:rPr>
      <w:rFonts w:ascii="XO Thames" w:hAnsi="XO Thames"/>
      <w:sz w:val="22"/>
    </w:rPr>
  </w:style>
  <w:style w:styleId="Style_29" w:type="paragraph">
    <w:name w:val="Строгий1"/>
    <w:link w:val="Style_29_ch"/>
    <w:rPr>
      <w:b w:val="1"/>
    </w:rPr>
  </w:style>
  <w:style w:styleId="Style_29_ch" w:type="character">
    <w:name w:val="Строгий1"/>
    <w:link w:val="Style_29"/>
    <w:rPr>
      <w:b w:val="1"/>
    </w:rPr>
  </w:style>
  <w:style w:styleId="Style_30" w:type="paragraph">
    <w:name w:val="toc 1"/>
    <w:next w:val="Style_7"/>
    <w:link w:val="Style_30_ch"/>
    <w:uiPriority w:val="39"/>
    <w:rPr>
      <w:rFonts w:ascii="XO Thames" w:hAnsi="XO Thames"/>
      <w:b w:val="1"/>
      <w:sz w:val="28"/>
    </w:rPr>
  </w:style>
  <w:style w:styleId="Style_30_ch" w:type="character">
    <w:name w:val="toc 1"/>
    <w:link w:val="Style_30"/>
    <w:rPr>
      <w:rFonts w:ascii="XO Thames" w:hAnsi="XO Thames"/>
      <w:b w:val="1"/>
      <w:sz w:val="28"/>
    </w:rPr>
  </w:style>
  <w:style w:styleId="Style_31" w:type="paragraph">
    <w:name w:val="Header and Footer"/>
    <w:link w:val="Style_31_ch"/>
    <w:pPr>
      <w:ind/>
      <w:jc w:val="both"/>
    </w:pPr>
    <w:rPr>
      <w:rFonts w:ascii="XO Thames" w:hAnsi="XO Thames"/>
    </w:rPr>
  </w:style>
  <w:style w:styleId="Style_31_ch" w:type="character">
    <w:name w:val="Header and Footer"/>
    <w:link w:val="Style_31"/>
    <w:rPr>
      <w:rFonts w:ascii="XO Thames" w:hAnsi="XO Thames"/>
    </w:rPr>
  </w:style>
  <w:style w:styleId="Style_32" w:type="paragraph">
    <w:name w:val="Body Text 3"/>
    <w:basedOn w:val="Style_7"/>
    <w:link w:val="Style_32_ch"/>
    <w:pPr>
      <w:spacing w:after="120"/>
      <w:ind/>
    </w:pPr>
    <w:rPr>
      <w:sz w:val="16"/>
    </w:rPr>
  </w:style>
  <w:style w:styleId="Style_32_ch" w:type="character">
    <w:name w:val="Body Text 3"/>
    <w:basedOn w:val="Style_7_ch"/>
    <w:link w:val="Style_32"/>
    <w:rPr>
      <w:sz w:val="16"/>
    </w:rPr>
  </w:style>
  <w:style w:styleId="Style_33" w:type="paragraph">
    <w:name w:val="Гиперссылка1"/>
    <w:link w:val="Style_33_ch"/>
    <w:rPr>
      <w:color w:val="0000FF"/>
      <w:u w:val="single"/>
    </w:rPr>
  </w:style>
  <w:style w:styleId="Style_33_ch" w:type="character">
    <w:name w:val="Гиперссылка1"/>
    <w:link w:val="Style_33"/>
    <w:rPr>
      <w:color w:val="0000FF"/>
      <w:u w:val="single"/>
    </w:rPr>
  </w:style>
  <w:style w:styleId="Style_34" w:type="paragraph">
    <w:name w:val="toc 9"/>
    <w:next w:val="Style_7"/>
    <w:link w:val="Style_34_ch"/>
    <w:uiPriority w:val="39"/>
    <w:pPr>
      <w:ind w:firstLine="0" w:left="1600"/>
    </w:pPr>
    <w:rPr>
      <w:rFonts w:ascii="XO Thames" w:hAnsi="XO Thames"/>
      <w:sz w:val="28"/>
    </w:rPr>
  </w:style>
  <w:style w:styleId="Style_34_ch" w:type="character">
    <w:name w:val="toc 9"/>
    <w:link w:val="Style_34"/>
    <w:rPr>
      <w:rFonts w:ascii="XO Thames" w:hAnsi="XO Thames"/>
      <w:sz w:val="28"/>
    </w:rPr>
  </w:style>
  <w:style w:styleId="Style_35" w:type="paragraph">
    <w:name w:val="toc 8"/>
    <w:next w:val="Style_7"/>
    <w:link w:val="Style_35_ch"/>
    <w:uiPriority w:val="39"/>
    <w:pPr>
      <w:ind w:firstLine="0" w:left="1400"/>
    </w:pPr>
    <w:rPr>
      <w:rFonts w:ascii="XO Thames" w:hAnsi="XO Thames"/>
      <w:sz w:val="28"/>
    </w:rPr>
  </w:style>
  <w:style w:styleId="Style_35_ch" w:type="character">
    <w:name w:val="toc 8"/>
    <w:link w:val="Style_35"/>
    <w:rPr>
      <w:rFonts w:ascii="XO Thames" w:hAnsi="XO Thames"/>
      <w:sz w:val="28"/>
    </w:rPr>
  </w:style>
  <w:style w:styleId="Style_36" w:type="paragraph">
    <w:name w:val="Body Text Indent"/>
    <w:basedOn w:val="Style_7"/>
    <w:link w:val="Style_36_ch"/>
    <w:pPr>
      <w:spacing w:after="120"/>
      <w:ind w:firstLine="0" w:left="283"/>
    </w:pPr>
    <w:rPr>
      <w:sz w:val="24"/>
    </w:rPr>
  </w:style>
  <w:style w:styleId="Style_36_ch" w:type="character">
    <w:name w:val="Body Text Indent"/>
    <w:basedOn w:val="Style_7_ch"/>
    <w:link w:val="Style_36"/>
    <w:rPr>
      <w:sz w:val="24"/>
    </w:rPr>
  </w:style>
  <w:style w:styleId="Style_2" w:type="paragraph">
    <w:name w:val="footer"/>
    <w:basedOn w:val="Style_7"/>
    <w:link w:val="Style_2_ch"/>
    <w:pPr>
      <w:tabs>
        <w:tab w:leader="none" w:pos="4153" w:val="center"/>
        <w:tab w:leader="none" w:pos="8306" w:val="right"/>
      </w:tabs>
      <w:ind/>
    </w:pPr>
  </w:style>
  <w:style w:styleId="Style_2_ch" w:type="character">
    <w:name w:val="footer"/>
    <w:basedOn w:val="Style_7_ch"/>
    <w:link w:val="Style_2"/>
  </w:style>
  <w:style w:styleId="Style_37" w:type="paragraph">
    <w:name w:val="toc 5"/>
    <w:next w:val="Style_7"/>
    <w:link w:val="Style_37_ch"/>
    <w:uiPriority w:val="39"/>
    <w:pPr>
      <w:ind w:firstLine="0" w:left="800"/>
    </w:pPr>
    <w:rPr>
      <w:rFonts w:ascii="XO Thames" w:hAnsi="XO Thames"/>
      <w:sz w:val="28"/>
    </w:rPr>
  </w:style>
  <w:style w:styleId="Style_37_ch" w:type="character">
    <w:name w:val="toc 5"/>
    <w:link w:val="Style_37"/>
    <w:rPr>
      <w:rFonts w:ascii="XO Thames" w:hAnsi="XO Thames"/>
      <w:sz w:val="28"/>
    </w:rPr>
  </w:style>
  <w:style w:styleId="Style_38" w:type="paragraph">
    <w:name w:val="Subtitle"/>
    <w:next w:val="Style_7"/>
    <w:link w:val="Style_38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38_ch" w:type="character">
    <w:name w:val="Subtitle"/>
    <w:link w:val="Style_38"/>
    <w:rPr>
      <w:rFonts w:ascii="XO Thames" w:hAnsi="XO Thames"/>
      <w:i w:val="1"/>
      <w:sz w:val="24"/>
    </w:rPr>
  </w:style>
  <w:style w:styleId="Style_39" w:type="paragraph">
    <w:name w:val="Title"/>
    <w:basedOn w:val="Style_7"/>
    <w:link w:val="Style_39_ch"/>
    <w:uiPriority w:val="10"/>
    <w:qFormat/>
    <w:pPr>
      <w:ind/>
      <w:jc w:val="center"/>
    </w:pPr>
    <w:rPr>
      <w:b w:val="1"/>
      <w:sz w:val="24"/>
    </w:rPr>
  </w:style>
  <w:style w:styleId="Style_39_ch" w:type="character">
    <w:name w:val="Title"/>
    <w:basedOn w:val="Style_7_ch"/>
    <w:link w:val="Style_39"/>
    <w:rPr>
      <w:b w:val="1"/>
      <w:sz w:val="24"/>
    </w:rPr>
  </w:style>
  <w:style w:styleId="Style_40" w:type="paragraph">
    <w:name w:val="heading 4"/>
    <w:basedOn w:val="Style_7"/>
    <w:next w:val="Style_7"/>
    <w:link w:val="Style_40_ch"/>
    <w:uiPriority w:val="9"/>
    <w:qFormat/>
    <w:pPr>
      <w:keepNext w:val="1"/>
      <w:ind/>
      <w:outlineLvl w:val="3"/>
    </w:pPr>
    <w:rPr>
      <w:sz w:val="28"/>
    </w:rPr>
  </w:style>
  <w:style w:styleId="Style_40_ch" w:type="character">
    <w:name w:val="heading 4"/>
    <w:basedOn w:val="Style_7_ch"/>
    <w:link w:val="Style_40"/>
    <w:rPr>
      <w:sz w:val="28"/>
    </w:rPr>
  </w:style>
  <w:style w:styleId="Style_41" w:type="paragraph">
    <w:name w:val="Обычный1"/>
    <w:link w:val="Style_41_ch"/>
  </w:style>
  <w:style w:styleId="Style_41_ch" w:type="character">
    <w:name w:val="Обычный1"/>
    <w:link w:val="Style_41"/>
  </w:style>
  <w:style w:styleId="Style_3" w:type="paragraph">
    <w:name w:val="heading 2"/>
    <w:basedOn w:val="Style_7"/>
    <w:next w:val="Style_7"/>
    <w:link w:val="Style_3_ch"/>
    <w:uiPriority w:val="9"/>
    <w:qFormat/>
    <w:pPr>
      <w:keepNext w:val="1"/>
      <w:ind/>
      <w:jc w:val="center"/>
      <w:outlineLvl w:val="1"/>
    </w:pPr>
    <w:rPr>
      <w:sz w:val="28"/>
    </w:rPr>
  </w:style>
  <w:style w:styleId="Style_3_ch" w:type="character">
    <w:name w:val="heading 2"/>
    <w:basedOn w:val="Style_7_ch"/>
    <w:link w:val="Style_3"/>
    <w:rPr>
      <w:sz w:val="28"/>
    </w:rPr>
  </w:style>
  <w:style w:styleId="Style_42" w:type="paragraph">
    <w:name w:val="ConsPlusNormal"/>
    <w:link w:val="Style_42_ch"/>
    <w:pPr>
      <w:widowControl w:val="0"/>
      <w:ind w:firstLine="720" w:left="0"/>
    </w:pPr>
    <w:rPr>
      <w:rFonts w:ascii="Arial" w:hAnsi="Arial"/>
    </w:rPr>
  </w:style>
  <w:style w:styleId="Style_42_ch" w:type="character">
    <w:name w:val="ConsPlusNormal"/>
    <w:link w:val="Style_42"/>
    <w:rPr>
      <w:rFonts w:ascii="Arial" w:hAnsi="Arial"/>
    </w:rPr>
  </w:style>
  <w:style w:styleId="Style_43" w:type="table">
    <w:name w:val="Plain Table 4"/>
    <w:basedOn w:val="Style_4"/>
  </w:style>
  <w:style w:styleId="Style_44" w:type="table">
    <w:name w:val="Grid Table Light"/>
    <w:basedOn w:val="Style_4"/>
    <w:tblPr>
      <w:tblBorders>
        <w:top w:color="BFBFBF" w:sz="4" w:val="single"/>
        <w:left w:color="BFBFBF" w:sz="4" w:val="single"/>
        <w:bottom w:color="BFBFBF" w:sz="4" w:val="single"/>
        <w:right w:color="BFBFBF" w:sz="4" w:val="single"/>
        <w:insideH w:color="BFBFBF" w:sz="4" w:val="single"/>
        <w:insideV w:color="BFBFBF" w:sz="4" w:val="single"/>
      </w:tblBorders>
    </w:tblPr>
  </w:style>
  <w:style w:styleId="Style_45" w:type="table">
    <w:name w:val="Table Grid"/>
    <w:basedOn w:val="Style_4"/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  <w:style w:default="1" w:styleId="Style_4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8" Target="theme/theme1.xml" Type="http://schemas.openxmlformats.org/officeDocument/2006/relationships/theme"/>
  <Relationship Id="rId7" Target="webSettings.xml" Type="http://schemas.openxmlformats.org/officeDocument/2006/relationships/webSettings"/>
  <Relationship Id="rId6" Target="stylesWithEffects.xml" Type="http://schemas.microsoft.com/office/2007/relationships/stylesWithEffects"/>
  <Relationship Id="rId5" Target="styles.xml" Type="http://schemas.openxmlformats.org/officeDocument/2006/relationships/styles"/>
  <Relationship Id="rId4" Target="settings.xml" Type="http://schemas.openxmlformats.org/officeDocument/2006/relationships/settings"/>
  <Relationship Id="rId3" Target="fontTable.xml" Type="http://schemas.openxmlformats.org/officeDocument/2006/relationships/fontTable"/>
  <Relationship Id="rId2" Target="footer2.xml" Type="http://schemas.openxmlformats.org/officeDocument/2006/relationships/footer"/>
  <Relationship Id="rId1" Target="header1.xml" Type="http://schemas.openxmlformats.org/officeDocument/2006/relationships/header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MyOffice-CoreFramework-Linux/30-1057.739.7955.691.1@6f967f4b4ae0ae6f94b7d59183011075308df4f8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2025-11-06T14:53:30Z</dcterms:modified>
</cp:coreProperties>
</file>