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6750" cy="7334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6706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666749" cy="733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5pt;height:57.8pt;mso-wrap-distance-left:0.0pt;mso-wrap-distance-top:0.0pt;mso-wrap-distance-right:0.0pt;mso-wrap-distance-bottom:0.0pt;rotation:0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Arial" w:hAnsi="Arial" w:eastAsia="Arial" w:cs="Arial"/>
          <w:b/>
          <w:color w:val="000000"/>
          <w:sz w:val="30"/>
          <w:highlight w:val="none"/>
        </w:rPr>
      </w:r>
      <w:r>
        <w:rPr>
          <w:rFonts w:ascii="Arial" w:hAnsi="Arial" w:eastAsia="Arial" w:cs="Arial"/>
          <w:b/>
          <w:color w:val="000000"/>
          <w:sz w:val="30"/>
          <w:highlight w:val="none"/>
        </w:rPr>
      </w:r>
    </w:p>
    <w:p>
      <w:pPr>
        <w:ind w:left="0" w:right="0" w:firstLine="0"/>
        <w:jc w:val="center"/>
        <w:spacing w:before="0" w:after="0" w:line="450" w:lineRule="atLeast"/>
        <w:rPr>
          <w:rFonts w:ascii="Arial" w:hAnsi="Arial" w:eastAsia="Arial" w:cs="Arial"/>
          <w:b/>
          <w:bCs/>
          <w:color w:val="000000"/>
          <w:sz w:val="30"/>
          <w:szCs w:val="3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0"/>
          <w:highlight w:val="none"/>
        </w:rPr>
      </w:r>
      <w:r>
        <w:rPr>
          <w:rFonts w:ascii="Arial" w:hAnsi="Arial" w:eastAsia="Arial" w:cs="Arial"/>
          <w:b/>
          <w:color w:val="000000"/>
          <w:sz w:val="30"/>
          <w:highlight w:val="none"/>
        </w:rPr>
      </w:r>
    </w:p>
    <w:p>
      <w:pPr>
        <w:ind w:left="0" w:right="0" w:firstLine="0"/>
        <w:jc w:val="center"/>
        <w:spacing w:before="0" w:after="0" w:line="450" w:lineRule="atLeast"/>
        <w:rPr>
          <w:rFonts w:ascii="Arial" w:hAnsi="Arial" w:eastAsia="Arial" w:cs="Arial"/>
          <w:b/>
          <w:bCs/>
          <w:color w:val="000000"/>
          <w:sz w:val="30"/>
          <w:szCs w:val="3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0"/>
        </w:rPr>
        <w:t xml:space="preserve">МИНИСТЕРСТВО ПРИРОДНЫХ РЕСУРСОВ И ЭКОЛОГИИ</w:t>
      </w:r>
      <w:r/>
    </w:p>
    <w:p>
      <w:pPr>
        <w:ind w:left="0" w:right="0" w:firstLine="0"/>
        <w:jc w:val="center"/>
        <w:spacing w:before="21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0"/>
        </w:rPr>
        <w:t xml:space="preserve">РОССИЙСКОЙ ФЕДЕРАЦИИ</w:t>
      </w:r>
      <w:r/>
    </w:p>
    <w:p>
      <w:pPr>
        <w:ind w:left="0" w:right="0" w:firstLine="0"/>
        <w:jc w:val="center"/>
        <w:spacing w:before="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0"/>
        </w:rPr>
        <w:t xml:space="preserve">ПИСЬМО</w:t>
      </w:r>
      <w:r/>
    </w:p>
    <w:p>
      <w:pPr>
        <w:ind w:left="0" w:right="0" w:firstLine="0"/>
        <w:jc w:val="center"/>
        <w:spacing w:before="21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0"/>
        </w:rPr>
        <w:t xml:space="preserve">от 12 декабря 2023 г. N 12-47/47676</w:t>
      </w:r>
      <w:r/>
    </w:p>
    <w:p>
      <w:pPr>
        <w:ind w:left="0" w:right="0" w:firstLine="0"/>
        <w:jc w:val="center"/>
        <w:spacing w:before="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0"/>
        </w:rPr>
        <w:t xml:space="preserve">О КОРРЕКТИРОВКЕ ПРИРОДООХРАННОЙ ДОКУМЕНТАЦИИ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Минприроды России в рамках установленной компетенции рассмотрело обращения и по вопросу действия природоохранной документации объектов, оказывающих негативное воздействие на окружающую среду (далее - ОНВОС), в связи с актуализацией </w:t>
      </w:r>
      <w:hyperlink r:id="rId11" w:tooltip="https://www.consultant.ru/document/cons_doc_LAW_465740/c05d57b6d1fcea8cb99537ffe3bea3e73982c989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перечня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загрязняющих веществ, в отношении которых применяются меры государственного регулирования в области охраны окружающей среды (далее - Перечень), сообщает следующее.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Распоряжением Правительства Российской Федерации от 20.10.2023 N 2909-р (далее - Распоряжение N 2909-р) утверждена актуализированная редакция </w:t>
      </w:r>
      <w:hyperlink r:id="rId12" w:tooltip="https://www.consultant.ru/document/cons_doc_LAW_465740/c05d57b6d1fcea8cb99537ffe3bea3e73982c989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Перечня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https://www.consultant.ru/document/cons_doc_LAW_465740/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Распоряжение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N 2909-р вступает в силу с 01.01.2024, при этом предусмотрено поэтапное применение отдельных позиций </w:t>
      </w:r>
      <w:hyperlink r:id="rId14" w:tooltip="https://www.consultant.ru/document/cons_doc_LAW_465740/c05d57b6d1fcea8cb99537ffe3bea3e73982c989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Перечня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при подготовке природоохранной документации.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В </w:t>
      </w:r>
      <w:hyperlink r:id="rId15" w:tooltip="https://www.consultant.ru/document/cons_doc_LAW_465740/f218f3b7c43b0f6404aaa73d8038279518fbcf60/#dst100038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позициях 21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16" w:tooltip="https://www.consultant.ru/document/cons_doc_LAW_465740/f218f3b7c43b0f6404aaa73d8038279518fbcf60/#dst100049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32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17" w:tooltip="https://www.consultant.ru/document/cons_doc_LAW_465740/f218f3b7c43b0f6404aaa73d8038279518fbcf60/#dst100065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47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18" w:tooltip="https://www.consultant.ru/document/cons_doc_LAW_465740/f218f3b7c43b0f6404aaa73d8038279518fbcf60/#dst10006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48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19" w:tooltip="https://www.consultant.ru/document/cons_doc_LAW_465740/f218f3b7c43b0f6404aaa73d8038279518fbcf60/#dst100067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49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20" w:tooltip="https://www.consultant.ru/document/cons_doc_LAW_465740/f218f3b7c43b0f6404aaa73d8038279518fbcf60/#dst100070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52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21" w:tooltip="https://www.consultant.ru/document/cons_doc_LAW_465740/f218f3b7c43b0f6404aaa73d8038279518fbcf60/#dst100077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59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22" w:tooltip="https://www.consultant.ru/document/cons_doc_LAW_465740/f218f3b7c43b0f6404aaa73d8038279518fbcf60/#dst100081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63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23" w:tooltip="https://www.consultant.ru/document/cons_doc_LAW_465740/f218f3b7c43b0f6404aaa73d8038279518fbcf60/#dst100089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71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24" w:tooltip="https://www.consultant.ru/document/cons_doc_LAW_465740/f218f3b7c43b0f6404aaa73d8038279518fbcf60/#dst100093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75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 </w:t>
      </w:r>
      <w:hyperlink r:id="rId25" w:tooltip="https://www.consultant.ru/document/cons_doc_LAW_465740/730719c2b7db90bb766fad1af391d55efd86894e/#dst10016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140 Раздела I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"Для атмосферного воздуха" Перечня указаны приоритетные загрязняющие вещества, определенные Роспотребнадзором на основании результатов сводных расчетов загрязнения атмосферного воздуха в ходе проведения эксперимента по квотированию выбросов загрязняющих в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еществ в рамках федерального </w:t>
      </w:r>
      <w:hyperlink r:id="rId26" w:tooltip="https://www.consultant.ru/document/cons_doc_LAW_394077/0b83e7b8d6b58016a40c77f7619b332b159d076e/#dst100747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проекта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"Чистый воздух".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Для выбросов вышеуказанных приоритетных загрязняющих веществ (при наличии таких выбросов на источниках объекта ОНВОС) с 01.01.2024 необходимо провести расчеты нормативов допустимых выбросов или технологических нормативов с учетом категории объекта ОНВОС.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Для объекта ОНВОС I категории расчеты нормативов допустимых выбросов проводятся: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- в отношении разрешений на выбросы, оформленных на переходный период до получения комплексных экологических разрешений (далее - КЭР) - по всем выбрасываемым приоритетным загрязняющим веществам, вновь включенным в </w:t>
      </w:r>
      <w:hyperlink r:id="rId27" w:tooltip="https://www.consultant.ru/document/cons_doc_LAW_465740/c05d57b6d1fcea8cb99537ffe3bea3e73982c989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;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- в отношении КЭР - по вновь включенным в </w:t>
      </w:r>
      <w:hyperlink r:id="rId28" w:tooltip="https://www.consultant.ru/document/cons_doc_LAW_465740/c05d57b6d1fcea8cb99537ffe3bea3e73982c989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выбрасываемым приоритетным загрязняющим веществам 1 и 2 класса опасности, то есть по </w:t>
      </w:r>
      <w:hyperlink r:id="rId29" w:tooltip="https://www.consultant.ru/document/cons_doc_LAW_465740/f218f3b7c43b0f6404aaa73d8038279518fbcf60/#dst100067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позициям 49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"пыль асбестосодержащая", </w:t>
      </w:r>
      <w:hyperlink r:id="rId30" w:tooltip="https://www.consultant.ru/document/cons_doc_LAW_465740/f218f3b7c43b0f6404aaa73d8038279518fbcf60/#dst100077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59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"смолистые вещества" и </w:t>
      </w:r>
      <w:hyperlink r:id="rId31" w:tooltip="https://www.consultant.ru/document/cons_doc_LAW_465740/f218f3b7c43b0f6404aaa73d8038279518fbcf60/#dst100093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75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"цинк сульфат".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При этом расчет технологических нормативов для объекта ОНВОС I категории проводится в случае включения в состав маркерных веществ и установления технологических показателей наилучших доступных технологий по вновь включенным в </w:t>
      </w:r>
      <w:hyperlink r:id="rId32" w:tooltip="https://www.consultant.ru/document/cons_doc_LAW_465740/c05d57b6d1fcea8cb99537ffe3bea3e73982c989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веществам.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Для объекта ОНВОС II категории расчеты нормативов допустимых выбросов проводятся по всем выбрасываемым приоритетным загрязняющим веществам, вновь включенным в Перечень; для объектов ОНВОС III категории - по вновь включенным в </w:t>
      </w:r>
      <w:hyperlink r:id="rId33" w:tooltip="https://www.consultant.ru/document/cons_doc_LAW_465740/c05d57b6d1fcea8cb99537ffe3bea3e73982c989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приоритетным выбрасываемым загрязняющим веществам 1 и 2 класса опасности.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Полагаем, что при наличии в выбросах объекта ОНВОС приоритетных загрязняющих веществ, вновь включенных в </w:t>
      </w:r>
      <w:hyperlink r:id="rId34" w:tooltip="https://www.consultant.ru/document/cons_doc_LAW_465740/c05d57b6d1fcea8cb99537ffe3bea3e73982c989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, расчеты нормативов допустимых выбросов таких веществ должны быть отражены в разрешениях на выбросы, КЭР, программах повышения экологической эффективности (при необходимости), декларации о воздействии на окружающую среду (далее - Декларация), планах мероп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риятий по охране окружающей среды, разрешениях на временные выбросы и планах по охране окружающей среды (при необходимости), программах экологического контроля и мероприятиях по уменьшению выбросов в периоды неблагоприятных метеорологических условий.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При этом отмечаем, что в соответствии с </w:t>
      </w:r>
      <w:hyperlink r:id="rId35" w:tooltip="https://www.consultant.ru/document/cons_doc_LAW_450839/f63a29e4364cf3ba600cd9718d9c70546b8e7225/#dst705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пунктом 6 статьи 31.2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Федерального закона от 10.01.2002 N 7-ФЗ "Об охране окружающей среды" (далее - Закон N 7-ФЗ) внесение изменений в Декларацию осуществляется одновременно с предусмотренной </w:t>
      </w:r>
      <w:hyperlink r:id="rId36" w:tooltip="https://www.consultant.ru/document/cons_doc_LAW_450839/e9e785e80f710f089b37d2ca6e385e5d56df33f8/#dst358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статьей 69.2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Закона N 7-ФЗ актуализацией сведений об объектах ОНВОС.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В соответствии со </w:t>
      </w:r>
      <w:hyperlink r:id="rId37" w:tooltip="https://www.consultant.ru/document/cons_doc_LAW_450839/4fcff69574d5b27d19c638d03c39272dc1c82129/#dst418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статьей 16.2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Закона N 7-ФЗ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веществ, сбросов загрязняющих веществ либо объем или масса размещенных в отчетном п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ериоде отходов производства и потребления (далее - платежная база).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Платежная база определяется лицами, обязанными вносить плату за негативное воздействие на окружающую среду, самостоятельно на основе данных производственного экологического контроля. Платежная база определяется лицами, обязанными вносить плату, для каждого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 стационарного источника, фактически использовавшегося в отчетный период, в отношении каждого загрязняющего вещества, включенного в перечень загрязняющих веществ, класса опасности отходов производства и потребления.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В силу </w:t>
      </w:r>
      <w:hyperlink r:id="rId38" w:tooltip="https://www.consultant.ru/document/cons_doc_LAW_450839/2b668f71b04cd6b6239a4827ec1430801c9da45b/#dst100695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пункта 1 статьи 16.3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Закона N 7-ФЗ плата за негативное воздействие на окружающую среду по итогам отчетного периода исчисляется лицами, обязанными вносить плату, самостоятельно путем умножения величины платежной базы по каждому загрязняющему веществу, включенному в перечень за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грязняющих веществ, по классу опасности отходов производства и потребления на соответствующие ставки указанной платы с применением коэффициентов, установленных данной статьей, и суммирования полученных величин.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При этом, во исполнение </w:t>
      </w:r>
      <w:hyperlink r:id="rId39" w:tooltip="https://www.consultant.ru/document/cons_doc_LAW_465740/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Распоряжения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N 2909-р в настоящее время подготовлен проект постановления Правительства Российской Федерации, устанавливающий ставки платы по загрязняющим веществам, включенным в </w:t>
      </w:r>
      <w:hyperlink r:id="rId40" w:tooltip="https://www.consultant.ru/document/cons_doc_LAW_465740/c05d57b6d1fcea8cb99537ffe3bea3e73982c989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: и для тех, которые будут применяться с 01.01.2024, и для тех, которые будут применяться с 01.01.2025 (то есть с отчетных периодов по плате 2024 года и 2025 года, соответственно).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Согласно </w:t>
      </w:r>
      <w:hyperlink r:id="rId41" w:tooltip="https://www.consultant.ru/document/cons_doc_LAW_450839/a3208b67106163348fb551ad82f72f34bf5cede9/#dst100712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пункту 8 статьи 16.4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Закона N 7-ФЗ не позднее 10-го марта года, следующего за отчетным периодом, лица, обязанные вносить плату, представляют в уполномоченный Правительством Российской Федерации федеральный орган исполнительной власти по месту нахождения объекта ОНВОС декларац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ию о плате за негативное воздействие на окружающую среду (далее - декларация о плате).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2" w:tooltip="https://www.consultant.ru/document/cons_doc_LAW_430386/477789b8b7f08850c36c72a1e87abe72bed6385d/#dst1000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представления декларации о плате и ее </w:t>
      </w:r>
      <w:hyperlink r:id="rId43" w:tooltip="https://www.consultant.ru/document/cons_doc_LAW_430386/e82b1c2d4d04c362836804909bc3eaf97d4bf525/#dst3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форма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утверждены приказом Минприроды России от 10.12.2020 N 1043.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Дополнительно сообщаем, что в настоящее время Минприроды России подготовлен проект распоряжения Правительства Российской Федерации, направленный на внесение изменений в </w:t>
      </w:r>
      <w:hyperlink r:id="rId44" w:tooltip="https://www.consultant.ru/document/cons_doc_LAW_465740/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Распоряжение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N 2909-р, в части уточнения срока вступления в силу </w:t>
      </w:r>
      <w:hyperlink r:id="rId45" w:tooltip="https://www.consultant.ru/document/cons_doc_LAW_465740/ec6128f11268c59ef0cdbd18cd2a93ec84628fe4/#dst100516" w:history="1">
        <w:r>
          <w:rPr>
            <w:rStyle w:val="806"/>
            <w:rFonts w:ascii="Times New Roman" w:hAnsi="Times New Roman" w:eastAsia="Times New Roman" w:cs="Times New Roman"/>
            <w:color w:val="1a0dab"/>
            <w:sz w:val="30"/>
            <w:u w:val="single"/>
          </w:rPr>
          <w:t xml:space="preserve">пункта 182 раздела II</w:t>
        </w:r>
      </w:hyperlink>
      <w:r>
        <w:rPr>
          <w:rFonts w:ascii="Times New Roman" w:hAnsi="Times New Roman" w:eastAsia="Times New Roman" w:cs="Times New Roman"/>
          <w:color w:val="000000"/>
          <w:sz w:val="30"/>
        </w:rPr>
        <w:t xml:space="preserve"> "Для водных объектов" Перечня.</w:t>
      </w:r>
      <w:r/>
    </w:p>
    <w:p>
      <w:pPr>
        <w:ind w:left="0" w:right="0" w:firstLine="540"/>
        <w:spacing w:before="21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Отмечаем, что письма Минприроды России и его структурных подразделений, в которых разъясняются вопросы применения нормативных актов, не содержат правовых норм, не направлены на установление, изменение или отмену правовых норм, а содержащиеся в них разъясне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ния не могут рассматриваться в качестве общеобязательных государственных предписаний постоянного или временного характера.</w:t>
      </w:r>
      <w:r/>
    </w:p>
    <w:p>
      <w:pPr>
        <w:ind w:left="0" w:right="0" w:firstLine="0"/>
        <w:jc w:val="right"/>
        <w:spacing w:before="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Директор Департамента</w:t>
      </w:r>
      <w:r/>
    </w:p>
    <w:p>
      <w:pPr>
        <w:ind w:left="0" w:right="0" w:firstLine="0"/>
        <w:jc w:val="right"/>
        <w:spacing w:before="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государственной политики</w:t>
      </w:r>
      <w:r/>
    </w:p>
    <w:p>
      <w:pPr>
        <w:ind w:left="0" w:right="0" w:firstLine="0"/>
        <w:jc w:val="right"/>
        <w:spacing w:before="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и регулирования в сфере</w:t>
      </w:r>
      <w:r/>
    </w:p>
    <w:p>
      <w:pPr>
        <w:ind w:left="0" w:right="0" w:firstLine="0"/>
        <w:jc w:val="right"/>
        <w:spacing w:before="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охраны окружающей среды</w:t>
      </w:r>
      <w:r/>
    </w:p>
    <w:p>
      <w:pPr>
        <w:ind w:left="0" w:right="0" w:firstLine="0"/>
        <w:jc w:val="right"/>
        <w:spacing w:before="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и экологической безопасности</w:t>
      </w:r>
      <w:r/>
    </w:p>
    <w:p>
      <w:pPr>
        <w:ind w:left="0" w:right="0" w:firstLine="0"/>
        <w:jc w:val="right"/>
        <w:spacing w:before="0" w:after="0" w:line="36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Р.А.МАЛЬЦЕВ</w:t>
      </w:r>
      <w:r/>
    </w:p>
    <w:p>
      <w:pPr>
        <w:ind w:left="0" w:right="0" w:firstLine="0"/>
        <w:spacing w:before="0" w:after="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pStyle w:val="831"/>
      </w:pPr>
      <w:r>
        <w:rPr>
          <w:highlight w:val="none"/>
        </w:rPr>
        <w:t xml:space="preserve">                                                </w:t>
      </w:r>
      <w:r/>
    </w:p>
    <w:p>
      <w:pPr>
        <w:ind w:left="0" w:right="0" w:firstLine="708"/>
        <w:jc w:val="left"/>
        <w:spacing w:before="225" w:after="225"/>
        <w:shd w:val="clear" w:color="ffffff" w:fill="ffffff"/>
        <w:rPr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2"/>
          <w:lang w:eastAsia="en-US"/>
        </w:rPr>
      </w:r>
      <w:r>
        <w:br w:type="page" w:clear="all"/>
      </w:r>
      <w:r>
        <w:rPr>
          <w:rFonts w:ascii="Times New Roman" w:hAnsi="Times New Roman" w:eastAsia="Times New Roman" w:cs="Times New Roman"/>
          <w:color w:val="2c2d2e"/>
          <w:sz w:val="44"/>
          <w:szCs w:val="44"/>
        </w:rPr>
        <w:t xml:space="preserve">В декабре 2023 года на проект рекультивации несанкционированной свалки в п. Косино получены положительные заключения экспертиз.</w:t>
      </w:r>
      <w:r>
        <w:rPr>
          <w:sz w:val="44"/>
          <w:szCs w:val="44"/>
        </w:rPr>
      </w:r>
      <w:r/>
    </w:p>
    <w:p>
      <w:pPr>
        <w:ind w:left="0" w:right="0" w:firstLine="0"/>
        <w:jc w:val="left"/>
        <w:spacing w:before="225" w:after="225"/>
        <w:shd w:val="clear" w:color="ffffff" w:fill="ffffff"/>
        <w:rPr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z w:val="44"/>
          <w:szCs w:val="44"/>
        </w:rPr>
        <w:t xml:space="preserve">        </w:t>
      </w:r>
      <w:r>
        <w:rPr>
          <w:sz w:val="44"/>
          <w:szCs w:val="44"/>
        </w:rPr>
      </w:r>
      <w:r/>
    </w:p>
    <w:p>
      <w:pPr>
        <w:ind w:left="0" w:right="0" w:firstLine="708"/>
        <w:jc w:val="left"/>
        <w:spacing w:before="225" w:after="225"/>
        <w:shd w:val="clear" w:color="ffffff" w:fill="ffffff"/>
        <w:rPr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z w:val="44"/>
          <w:szCs w:val="44"/>
        </w:rPr>
        <w:t xml:space="preserve">Площадь рекультивации составляет 0.63 га.</w:t>
      </w:r>
      <w:r>
        <w:rPr>
          <w:sz w:val="44"/>
          <w:szCs w:val="44"/>
        </w:rPr>
      </w:r>
      <w:r/>
    </w:p>
    <w:p>
      <w:pPr>
        <w:ind w:left="0" w:right="0" w:firstLine="708"/>
        <w:jc w:val="left"/>
        <w:spacing w:before="225" w:after="225"/>
        <w:shd w:val="clear" w:color="ffffff" w:fill="ffffff"/>
        <w:rPr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z w:val="44"/>
          <w:szCs w:val="44"/>
        </w:rPr>
        <w:t xml:space="preserve">Объем свалочных масс составляет более 4 тыс. м3.</w:t>
      </w:r>
      <w:r>
        <w:rPr>
          <w:sz w:val="44"/>
          <w:szCs w:val="44"/>
        </w:rPr>
      </w:r>
      <w:r/>
    </w:p>
    <w:p>
      <w:pPr>
        <w:ind w:left="0" w:right="0" w:firstLine="708"/>
        <w:jc w:val="left"/>
        <w:spacing w:before="225" w:after="225"/>
        <w:shd w:val="clear" w:color="ffffff" w:fill="ffffff"/>
        <w:rPr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z w:val="44"/>
          <w:szCs w:val="44"/>
        </w:rPr>
        <w:t xml:space="preserve">Объект не является полигоном размещения твёрдых коммунальных отходов.</w:t>
      </w:r>
      <w:r>
        <w:rPr>
          <w:sz w:val="44"/>
          <w:szCs w:val="44"/>
        </w:rPr>
      </w:r>
      <w:r/>
    </w:p>
    <w:p>
      <w:pPr>
        <w:ind w:left="0" w:right="0" w:firstLine="708"/>
        <w:jc w:val="left"/>
        <w:spacing w:before="225" w:after="225"/>
        <w:shd w:val="clear" w:color="ffffff" w:fill="ffffff"/>
        <w:rPr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z w:val="44"/>
          <w:szCs w:val="44"/>
        </w:rPr>
        <w:t xml:space="preserve">В настоящее время является объектом несанкционированного размещения бытовых отходов и должен быть рекультивирован.</w:t>
      </w:r>
      <w:r>
        <w:rPr>
          <w:sz w:val="44"/>
          <w:szCs w:val="44"/>
        </w:rPr>
      </w:r>
      <w:r/>
    </w:p>
    <w:p>
      <w:pPr>
        <w:ind w:left="0" w:right="0" w:firstLine="708"/>
        <w:jc w:val="left"/>
        <w:spacing w:before="225" w:after="225"/>
        <w:shd w:val="clear" w:color="ffffff" w:fill="ffffff"/>
        <w:rPr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z w:val="44"/>
          <w:szCs w:val="44"/>
        </w:rPr>
        <w:t xml:space="preserve">В рамках рекультивации будут осуществлена </w:t>
      </w:r>
      <w:r>
        <w:rPr>
          <w:rFonts w:ascii="Times New Roman" w:hAnsi="Times New Roman" w:eastAsia="Times New Roman" w:cs="Times New Roman"/>
          <w:color w:val="000000"/>
          <w:sz w:val="44"/>
          <w:szCs w:val="44"/>
        </w:rPr>
        <w:t xml:space="preserve">вывозка свалочных масс, произведена засыпка плодородным слоем почвы, высажены деревья.</w:t>
      </w:r>
      <w:r>
        <w:rPr>
          <w:sz w:val="44"/>
          <w:szCs w:val="44"/>
        </w:rPr>
      </w:r>
      <w:r/>
    </w:p>
    <w:p>
      <w:pPr>
        <w:ind w:left="0" w:right="0" w:firstLine="708"/>
        <w:jc w:val="left"/>
        <w:spacing w:before="225" w:after="225"/>
        <w:shd w:val="clear" w:color="ffffff" w:fill="ffffff"/>
        <w:rPr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44"/>
          <w:szCs w:val="44"/>
        </w:rPr>
        <w:t xml:space="preserve">Стоимость рекультивации составляет 24 млн. руб.</w:t>
      </w:r>
      <w:r>
        <w:rPr>
          <w:sz w:val="44"/>
          <w:szCs w:val="44"/>
        </w:rPr>
      </w:r>
      <w:r/>
    </w:p>
    <w:p>
      <w:pPr>
        <w:ind w:left="0" w:right="0" w:firstLine="708"/>
        <w:jc w:val="left"/>
        <w:spacing w:before="225" w:after="225"/>
        <w:shd w:val="clear" w:color="ffffff" w:fill="ffffff"/>
        <w:rPr>
          <w:sz w:val="44"/>
          <w:szCs w:val="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44"/>
          <w:szCs w:val="44"/>
        </w:rPr>
        <w:t xml:space="preserve">Очень рады, что принято решение о выделении денежных средств для рекультивации свалки.</w:t>
      </w:r>
      <w:r>
        <w:rPr>
          <w:sz w:val="44"/>
          <w:szCs w:val="44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09" w:right="850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8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  <w:style w:type="character" w:styleId="830" w:customStyle="1">
    <w:name w:val="layout"/>
  </w:style>
  <w:style w:type="paragraph" w:styleId="831" w:customStyle="1">
    <w:name w:val="ТЧ"/>
    <w:qFormat/>
    <w:pPr>
      <w:contextualSpacing w:val="0"/>
      <w:ind w:left="57" w:right="57" w:firstLine="680"/>
      <w:jc w:val="both"/>
      <w:keepLines w:val="0"/>
      <w:keepNext w:val="0"/>
      <w:pageBreakBefore w:val="0"/>
      <w:spacing w:before="60" w:beforeAutospacing="0" w:after="6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/document/cons_doc_LAW_465740/c05d57b6d1fcea8cb99537ffe3bea3e73982c989/#dst100016" TargetMode="External"/><Relationship Id="rId12" Type="http://schemas.openxmlformats.org/officeDocument/2006/relationships/hyperlink" Target="https://www.consultant.ru/document/cons_doc_LAW_465740/c05d57b6d1fcea8cb99537ffe3bea3e73982c989/#dst100016" TargetMode="External"/><Relationship Id="rId13" Type="http://schemas.openxmlformats.org/officeDocument/2006/relationships/hyperlink" Target="https://www.consultant.ru/document/cons_doc_LAW_465740/" TargetMode="External"/><Relationship Id="rId14" Type="http://schemas.openxmlformats.org/officeDocument/2006/relationships/hyperlink" Target="https://www.consultant.ru/document/cons_doc_LAW_465740/c05d57b6d1fcea8cb99537ffe3bea3e73982c989/#dst100016" TargetMode="External"/><Relationship Id="rId15" Type="http://schemas.openxmlformats.org/officeDocument/2006/relationships/hyperlink" Target="https://www.consultant.ru/document/cons_doc_LAW_465740/f218f3b7c43b0f6404aaa73d8038279518fbcf60/#dst100038" TargetMode="External"/><Relationship Id="rId16" Type="http://schemas.openxmlformats.org/officeDocument/2006/relationships/hyperlink" Target="https://www.consultant.ru/document/cons_doc_LAW_465740/f218f3b7c43b0f6404aaa73d8038279518fbcf60/#dst100049" TargetMode="External"/><Relationship Id="rId17" Type="http://schemas.openxmlformats.org/officeDocument/2006/relationships/hyperlink" Target="https://www.consultant.ru/document/cons_doc_LAW_465740/f218f3b7c43b0f6404aaa73d8038279518fbcf60/#dst100065" TargetMode="External"/><Relationship Id="rId18" Type="http://schemas.openxmlformats.org/officeDocument/2006/relationships/hyperlink" Target="https://www.consultant.ru/document/cons_doc_LAW_465740/f218f3b7c43b0f6404aaa73d8038279518fbcf60/#dst100066" TargetMode="External"/><Relationship Id="rId19" Type="http://schemas.openxmlformats.org/officeDocument/2006/relationships/hyperlink" Target="https://www.consultant.ru/document/cons_doc_LAW_465740/f218f3b7c43b0f6404aaa73d8038279518fbcf60/#dst100067" TargetMode="External"/><Relationship Id="rId20" Type="http://schemas.openxmlformats.org/officeDocument/2006/relationships/hyperlink" Target="https://www.consultant.ru/document/cons_doc_LAW_465740/f218f3b7c43b0f6404aaa73d8038279518fbcf60/#dst100070" TargetMode="External"/><Relationship Id="rId21" Type="http://schemas.openxmlformats.org/officeDocument/2006/relationships/hyperlink" Target="https://www.consultant.ru/document/cons_doc_LAW_465740/f218f3b7c43b0f6404aaa73d8038279518fbcf60/#dst100077" TargetMode="External"/><Relationship Id="rId22" Type="http://schemas.openxmlformats.org/officeDocument/2006/relationships/hyperlink" Target="https://www.consultant.ru/document/cons_doc_LAW_465740/f218f3b7c43b0f6404aaa73d8038279518fbcf60/#dst100081" TargetMode="External"/><Relationship Id="rId23" Type="http://schemas.openxmlformats.org/officeDocument/2006/relationships/hyperlink" Target="https://www.consultant.ru/document/cons_doc_LAW_465740/f218f3b7c43b0f6404aaa73d8038279518fbcf60/#dst100089" TargetMode="External"/><Relationship Id="rId24" Type="http://schemas.openxmlformats.org/officeDocument/2006/relationships/hyperlink" Target="https://www.consultant.ru/document/cons_doc_LAW_465740/f218f3b7c43b0f6404aaa73d8038279518fbcf60/#dst100093" TargetMode="External"/><Relationship Id="rId25" Type="http://schemas.openxmlformats.org/officeDocument/2006/relationships/hyperlink" Target="https://www.consultant.ru/document/cons_doc_LAW_465740/730719c2b7db90bb766fad1af391d55efd86894e/#dst100166" TargetMode="External"/><Relationship Id="rId26" Type="http://schemas.openxmlformats.org/officeDocument/2006/relationships/hyperlink" Target="https://www.consultant.ru/document/cons_doc_LAW_394077/0b83e7b8d6b58016a40c77f7619b332b159d076e/#dst100747" TargetMode="External"/><Relationship Id="rId27" Type="http://schemas.openxmlformats.org/officeDocument/2006/relationships/hyperlink" Target="https://www.consultant.ru/document/cons_doc_LAW_465740/c05d57b6d1fcea8cb99537ffe3bea3e73982c989/#dst100016" TargetMode="External"/><Relationship Id="rId28" Type="http://schemas.openxmlformats.org/officeDocument/2006/relationships/hyperlink" Target="https://www.consultant.ru/document/cons_doc_LAW_465740/c05d57b6d1fcea8cb99537ffe3bea3e73982c989/#dst100016" TargetMode="External"/><Relationship Id="rId29" Type="http://schemas.openxmlformats.org/officeDocument/2006/relationships/hyperlink" Target="https://www.consultant.ru/document/cons_doc_LAW_465740/f218f3b7c43b0f6404aaa73d8038279518fbcf60/#dst100067" TargetMode="External"/><Relationship Id="rId30" Type="http://schemas.openxmlformats.org/officeDocument/2006/relationships/hyperlink" Target="https://www.consultant.ru/document/cons_doc_LAW_465740/f218f3b7c43b0f6404aaa73d8038279518fbcf60/#dst100077" TargetMode="External"/><Relationship Id="rId31" Type="http://schemas.openxmlformats.org/officeDocument/2006/relationships/hyperlink" Target="https://www.consultant.ru/document/cons_doc_LAW_465740/f218f3b7c43b0f6404aaa73d8038279518fbcf60/#dst100093" TargetMode="External"/><Relationship Id="rId32" Type="http://schemas.openxmlformats.org/officeDocument/2006/relationships/hyperlink" Target="https://www.consultant.ru/document/cons_doc_LAW_465740/c05d57b6d1fcea8cb99537ffe3bea3e73982c989/#dst100016" TargetMode="External"/><Relationship Id="rId33" Type="http://schemas.openxmlformats.org/officeDocument/2006/relationships/hyperlink" Target="https://www.consultant.ru/document/cons_doc_LAW_465740/c05d57b6d1fcea8cb99537ffe3bea3e73982c989/#dst100016" TargetMode="External"/><Relationship Id="rId34" Type="http://schemas.openxmlformats.org/officeDocument/2006/relationships/hyperlink" Target="https://www.consultant.ru/document/cons_doc_LAW_465740/c05d57b6d1fcea8cb99537ffe3bea3e73982c989/#dst100016" TargetMode="External"/><Relationship Id="rId35" Type="http://schemas.openxmlformats.org/officeDocument/2006/relationships/hyperlink" Target="https://www.consultant.ru/document/cons_doc_LAW_450839/f63a29e4364cf3ba600cd9718d9c70546b8e7225/#dst705" TargetMode="External"/><Relationship Id="rId36" Type="http://schemas.openxmlformats.org/officeDocument/2006/relationships/hyperlink" Target="https://www.consultant.ru/document/cons_doc_LAW_450839/e9e785e80f710f089b37d2ca6e385e5d56df33f8/#dst358" TargetMode="External"/><Relationship Id="rId37" Type="http://schemas.openxmlformats.org/officeDocument/2006/relationships/hyperlink" Target="https://www.consultant.ru/document/cons_doc_LAW_450839/4fcff69574d5b27d19c638d03c39272dc1c82129/#dst418" TargetMode="External"/><Relationship Id="rId38" Type="http://schemas.openxmlformats.org/officeDocument/2006/relationships/hyperlink" Target="https://www.consultant.ru/document/cons_doc_LAW_450839/2b668f71b04cd6b6239a4827ec1430801c9da45b/#dst100695" TargetMode="External"/><Relationship Id="rId39" Type="http://schemas.openxmlformats.org/officeDocument/2006/relationships/hyperlink" Target="https://www.consultant.ru/document/cons_doc_LAW_465740/" TargetMode="External"/><Relationship Id="rId40" Type="http://schemas.openxmlformats.org/officeDocument/2006/relationships/hyperlink" Target="https://www.consultant.ru/document/cons_doc_LAW_465740/c05d57b6d1fcea8cb99537ffe3bea3e73982c989/#dst100016" TargetMode="External"/><Relationship Id="rId41" Type="http://schemas.openxmlformats.org/officeDocument/2006/relationships/hyperlink" Target="https://www.consultant.ru/document/cons_doc_LAW_450839/a3208b67106163348fb551ad82f72f34bf5cede9/#dst100712" TargetMode="External"/><Relationship Id="rId42" Type="http://schemas.openxmlformats.org/officeDocument/2006/relationships/hyperlink" Target="https://www.consultant.ru/document/cons_doc_LAW_430386/477789b8b7f08850c36c72a1e87abe72bed6385d/#dst100016" TargetMode="External"/><Relationship Id="rId43" Type="http://schemas.openxmlformats.org/officeDocument/2006/relationships/hyperlink" Target="https://www.consultant.ru/document/cons_doc_LAW_430386/e82b1c2d4d04c362836804909bc3eaf97d4bf525/#dst3" TargetMode="External"/><Relationship Id="rId44" Type="http://schemas.openxmlformats.org/officeDocument/2006/relationships/hyperlink" Target="https://www.consultant.ru/document/cons_doc_LAW_465740/" TargetMode="External"/><Relationship Id="rId45" Type="http://schemas.openxmlformats.org/officeDocument/2006/relationships/hyperlink" Target="https://www.consultant.ru/document/cons_doc_LAW_465740/ec6128f11268c59ef0cdbd18cd2a93ec84628fe4/#dst1005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2024-01-26T12:32:23Z</dcterms:modified>
</cp:coreProperties>
</file>