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jc w:val="center"/>
        <w:rPr>
          <w:b/>
          <w:sz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0326" cy="39814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0326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.22pt;height:31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645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p>
      <w:pPr>
        <w:pStyle w:val="645"/>
        <w:jc w:val="center"/>
        <w:rPr>
          <w:b/>
          <w:sz w:val="28"/>
        </w:rPr>
      </w:pPr>
      <w:r>
        <w:rPr>
          <w:b/>
          <w:sz w:val="28"/>
        </w:rPr>
        <w:t xml:space="preserve">ПРЕДСТАВИТЕЛЬНОЕ   СОБРАНИЕ</w:t>
      </w:r>
      <w:r>
        <w:rPr>
          <w:b/>
          <w:sz w:val="28"/>
        </w:rPr>
      </w:r>
    </w:p>
    <w:p>
      <w:pPr>
        <w:pStyle w:val="645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Кирилловского  муниципального  округа Вологодской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45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>
      <w:pPr>
        <w:pStyle w:val="645"/>
        <w:rPr>
          <w:sz w:val="28"/>
        </w:rPr>
      </w:pPr>
      <w:r>
        <w:rPr>
          <w:b/>
          <w:sz w:val="24"/>
        </w:rPr>
        <w:t xml:space="preserve">    </w:t>
      </w:r>
      <w:r>
        <w:rPr>
          <w:sz w:val="28"/>
        </w:rPr>
      </w:r>
      <w:r>
        <w:rPr>
          <w:sz w:val="28"/>
        </w:rPr>
      </w:r>
    </w:p>
    <w:p>
      <w:pPr>
        <w:pStyle w:val="645"/>
        <w:jc w:val="center"/>
        <w:keepNext/>
        <w:rPr>
          <w:b/>
          <w:sz w:val="24"/>
        </w:rPr>
        <w:outlineLvl w:val="0"/>
      </w:pPr>
      <w:r>
        <w:rPr>
          <w:b/>
          <w:sz w:val="32"/>
        </w:rPr>
        <w:t xml:space="preserve">Р  Е  Ш  Е  Н  И  Е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645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45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126"/>
        <w:gridCol w:w="5670"/>
        <w:gridCol w:w="1276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45"/>
              <w:rPr>
                <w:b/>
                <w:sz w:val="28"/>
              </w:rPr>
            </w:pPr>
            <w:r>
              <w:rPr>
                <w:sz w:val="28"/>
              </w:rPr>
              <w:t xml:space="preserve">от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45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45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 xml:space="preserve">№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5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45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</w:p>
    <w:p>
      <w:pPr>
        <w:pStyle w:val="645"/>
        <w:tabs>
          <w:tab w:val="left" w:pos="0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55" w:type="dxa"/>
            <w:vAlign w:val="top"/>
            <w:textDirection w:val="lrTb"/>
            <w:noWrap w:val="false"/>
          </w:tcPr>
          <w:p>
            <w:pPr>
              <w:pStyle w:val="64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 отчете Представительного Собрания Кирилловского муниципального округа Вологодской области 1 созыва о результатах деятельности за 2025 год</w:t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645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45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4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 xml:space="preserve">В соответствии с пунктом 1.15 раздела 1 Положения о Представительном Собрании Кирилловского муниципального округа Вологодской области, утве</w:t>
      </w:r>
      <w:r>
        <w:rPr>
          <w:sz w:val="27"/>
          <w:szCs w:val="27"/>
        </w:rPr>
        <w:t xml:space="preserve">р</w:t>
      </w:r>
      <w:r>
        <w:rPr>
          <w:sz w:val="27"/>
          <w:szCs w:val="27"/>
        </w:rPr>
        <w:t xml:space="preserve">жденного решение Представительного Собрания от 20.09.2023 № 2, статьей 25 Устава К</w:t>
      </w:r>
      <w:r>
        <w:rPr>
          <w:sz w:val="27"/>
          <w:szCs w:val="27"/>
        </w:rPr>
        <w:t xml:space="preserve">и</w:t>
      </w:r>
      <w:r>
        <w:rPr>
          <w:sz w:val="27"/>
          <w:szCs w:val="27"/>
        </w:rPr>
        <w:t xml:space="preserve">рилловского муниципального округа, рассмотрев представленный отчет о деятельности Представительного Собрания Кирилловского муниципального округа Вологодской области 1 с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зыва за 2025 год, Представительное Собрание </w:t>
      </w:r>
      <w:r>
        <w:rPr>
          <w:sz w:val="27"/>
          <w:szCs w:val="27"/>
        </w:rPr>
      </w:r>
    </w:p>
    <w:p>
      <w:pPr>
        <w:pStyle w:val="645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РЕШИЛО:</w:t>
        <w:tab/>
      </w:r>
      <w:r>
        <w:rPr>
          <w:b/>
          <w:sz w:val="27"/>
          <w:szCs w:val="27"/>
        </w:rPr>
      </w:r>
    </w:p>
    <w:p>
      <w:pPr>
        <w:pStyle w:val="645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4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 xml:space="preserve">1. Принять к сведению прилагаемый отчет о деятельности Представительн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го Собрания Кирилловского муниципального округа Вологодской области 1 соз</w:t>
      </w:r>
      <w:r>
        <w:rPr>
          <w:sz w:val="27"/>
          <w:szCs w:val="27"/>
        </w:rPr>
        <w:t xml:space="preserve">ы</w:t>
      </w:r>
      <w:r>
        <w:rPr>
          <w:sz w:val="27"/>
          <w:szCs w:val="27"/>
        </w:rPr>
        <w:t xml:space="preserve">ва за 2025 год. </w:t>
      </w:r>
      <w:r>
        <w:rPr>
          <w:sz w:val="27"/>
          <w:szCs w:val="27"/>
        </w:rPr>
      </w:r>
    </w:p>
    <w:p>
      <w:pPr>
        <w:pStyle w:val="645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2. Настоящее решение подлежит официальному опубликованию, размещ</w:t>
      </w:r>
      <w:r>
        <w:rPr>
          <w:sz w:val="27"/>
          <w:szCs w:val="27"/>
        </w:rPr>
        <w:t xml:space="preserve">е</w:t>
      </w:r>
      <w:r>
        <w:rPr>
          <w:sz w:val="27"/>
          <w:szCs w:val="27"/>
        </w:rPr>
        <w:t xml:space="preserve">нию на официальном сайте Кирилловского муниципального округа в информац</w:t>
      </w:r>
      <w:r>
        <w:rPr>
          <w:sz w:val="27"/>
          <w:szCs w:val="27"/>
        </w:rPr>
        <w:t xml:space="preserve">и</w:t>
      </w:r>
      <w:r>
        <w:rPr>
          <w:sz w:val="27"/>
          <w:szCs w:val="27"/>
        </w:rPr>
        <w:t xml:space="preserve">онно-коммуникационной сети «Интернет» и вступает в силу со дня принятия.</w:t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45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45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97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7"/>
        <w:gridCol w:w="2125"/>
        <w:gridCol w:w="284"/>
        <w:gridCol w:w="1882"/>
        <w:gridCol w:w="2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9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64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Председатель Представительного Собрания Кирилловского муниципального округа 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45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Вологодской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08" w:type="dxa"/>
            <w:vAlign w:val="top"/>
            <w:textDirection w:val="lrTb"/>
            <w:noWrap w:val="false"/>
          </w:tcPr>
          <w:p>
            <w:pPr>
              <w:pStyle w:val="645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Глава Кирилловского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45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муниципального округа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45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Вологодской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64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08" w:type="dxa"/>
            <w:vAlign w:val="top"/>
            <w:textDirection w:val="lrTb"/>
            <w:noWrap w:val="false"/>
          </w:tcPr>
          <w:p>
            <w:pPr>
              <w:pStyle w:val="64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000000" w:sz="4" w:space="0"/>
              <w:right w:val="none" w:color="FFFFFF" w:sz="255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6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64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В.П.Шачин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000000" w:sz="4" w:space="0"/>
              <w:right w:val="none" w:color="FFFFFF" w:sz="255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6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6" w:type="dxa"/>
            <w:vAlign w:val="top"/>
            <w:textDirection w:val="lrTb"/>
            <w:noWrap w:val="false"/>
          </w:tcPr>
          <w:p>
            <w:pPr>
              <w:pStyle w:val="6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А.Н.Тюляндин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45"/>
        <w:spacing w:line="360" w:lineRule="auto"/>
      </w:pPr>
      <w:r/>
      <w:r/>
    </w:p>
    <w:p>
      <w:pPr>
        <w:pStyle w:val="645"/>
        <w:spacing w:line="360" w:lineRule="auto"/>
      </w:pPr>
      <w:r/>
      <w:r/>
    </w:p>
    <w:p>
      <w:pPr>
        <w:pStyle w:val="645"/>
        <w:spacing w:line="360" w:lineRule="auto"/>
      </w:pPr>
      <w:r/>
      <w:r/>
    </w:p>
    <w:p>
      <w:pPr>
        <w:pStyle w:val="645"/>
        <w:spacing w:line="360" w:lineRule="auto"/>
      </w:pPr>
      <w:r/>
      <w:r/>
    </w:p>
    <w:p>
      <w:pPr>
        <w:pStyle w:val="645"/>
        <w:spacing w:line="360" w:lineRule="auto"/>
      </w:pPr>
      <w:r/>
      <w:r/>
    </w:p>
    <w:p>
      <w:pPr>
        <w:pStyle w:val="645"/>
        <w:spacing w:line="360" w:lineRule="auto"/>
      </w:pPr>
      <w:r/>
      <w:r/>
    </w:p>
    <w:p>
      <w:pPr>
        <w:pStyle w:val="645"/>
        <w:spacing w:line="360" w:lineRule="auto"/>
      </w:pPr>
      <w:r/>
      <w:r/>
    </w:p>
    <w:p>
      <w:pPr>
        <w:pStyle w:val="645"/>
        <w:ind w:left="6096"/>
        <w:jc w:val="both"/>
      </w:pPr>
      <w:r/>
      <w:r/>
    </w:p>
    <w:p>
      <w:pPr>
        <w:pStyle w:val="645"/>
        <w:ind w:left="6237"/>
        <w:jc w:val="both"/>
        <w:rPr>
          <w:rFonts w:ascii="Tinos" w:hAnsi="Tinos" w:cs="Tinos"/>
          <w:b/>
          <w:sz w:val="26"/>
          <w:szCs w:val="26"/>
        </w:rPr>
      </w:pPr>
      <w:r>
        <w:rPr>
          <w:rFonts w:ascii="Tinos" w:hAnsi="Tinos" w:eastAsia="Tinos" w:cs="Tinos"/>
          <w:b/>
          <w:sz w:val="26"/>
          <w:szCs w:val="26"/>
        </w:rPr>
        <w:t xml:space="preserve">УТВЕРЖДЕН</w:t>
      </w:r>
      <w:r>
        <w:rPr>
          <w:rFonts w:ascii="Tinos" w:hAnsi="Tinos" w:cs="Tinos"/>
          <w:b/>
          <w:sz w:val="26"/>
          <w:szCs w:val="26"/>
        </w:rPr>
      </w:r>
      <w:r>
        <w:rPr>
          <w:rFonts w:ascii="Tinos" w:hAnsi="Tinos" w:cs="Tinos"/>
          <w:b/>
          <w:sz w:val="26"/>
          <w:szCs w:val="26"/>
        </w:rPr>
      </w:r>
    </w:p>
    <w:p>
      <w:pPr>
        <w:pStyle w:val="645"/>
        <w:ind w:left="6237"/>
        <w:jc w:val="both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решением </w:t>
      </w:r>
      <w:r>
        <w:rPr>
          <w:rFonts w:ascii="Tinos" w:hAnsi="Tinos" w:eastAsia="Tinos" w:cs="Tinos"/>
          <w:sz w:val="26"/>
          <w:szCs w:val="26"/>
        </w:rPr>
        <w:t xml:space="preserve">Представител</w:t>
      </w:r>
      <w:r>
        <w:rPr>
          <w:rFonts w:ascii="Tinos" w:hAnsi="Tinos" w:eastAsia="Tinos" w:cs="Tinos"/>
          <w:sz w:val="26"/>
          <w:szCs w:val="26"/>
        </w:rPr>
        <w:t xml:space="preserve">ь</w:t>
      </w:r>
      <w:r>
        <w:rPr>
          <w:rFonts w:ascii="Tinos" w:hAnsi="Tinos" w:eastAsia="Tinos" w:cs="Tinos"/>
          <w:sz w:val="26"/>
          <w:szCs w:val="26"/>
        </w:rPr>
        <w:t xml:space="preserve">ного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</w:rPr>
      </w:r>
    </w:p>
    <w:p>
      <w:pPr>
        <w:pStyle w:val="645"/>
        <w:ind w:left="6237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Собрания округа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pStyle w:val="645"/>
        <w:ind w:left="6237"/>
        <w:jc w:val="both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от ____________ </w:t>
      </w:r>
      <w:r>
        <w:rPr>
          <w:rFonts w:ascii="Tinos" w:hAnsi="Tinos" w:eastAsia="Tinos" w:cs="Tinos"/>
          <w:sz w:val="26"/>
          <w:szCs w:val="26"/>
        </w:rPr>
        <w:t xml:space="preserve">№ ____ 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pStyle w:val="645"/>
        <w:ind w:left="6237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(прил</w:t>
      </w:r>
      <w:r>
        <w:rPr>
          <w:rFonts w:ascii="Tinos" w:hAnsi="Tinos" w:eastAsia="Tinos" w:cs="Tinos"/>
          <w:sz w:val="26"/>
          <w:szCs w:val="26"/>
        </w:rPr>
        <w:t xml:space="preserve">о</w:t>
      </w:r>
      <w:r>
        <w:rPr>
          <w:rFonts w:ascii="Tinos" w:hAnsi="Tinos" w:eastAsia="Tinos" w:cs="Tinos"/>
          <w:sz w:val="26"/>
          <w:szCs w:val="26"/>
        </w:rPr>
        <w:t xml:space="preserve">жение)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pStyle w:val="645"/>
        <w:jc w:val="both"/>
        <w:rPr>
          <w:rFonts w:ascii="Tinos" w:hAnsi="Tinos" w:cs="Tinos"/>
          <w:b/>
          <w:color w:val="000000"/>
          <w:sz w:val="26"/>
          <w:szCs w:val="26"/>
        </w:rPr>
      </w:pPr>
      <w:r>
        <w:rPr>
          <w:rFonts w:ascii="Tinos" w:hAnsi="Tinos" w:cs="Tinos"/>
          <w:b/>
          <w:color w:val="000000"/>
          <w:sz w:val="26"/>
          <w:szCs w:val="26"/>
        </w:rPr>
      </w:r>
      <w:r>
        <w:rPr>
          <w:rFonts w:ascii="Tinos" w:hAnsi="Tinos" w:cs="Tinos"/>
          <w:b/>
          <w:color w:val="000000"/>
          <w:sz w:val="26"/>
          <w:szCs w:val="26"/>
        </w:rPr>
      </w:r>
    </w:p>
    <w:p>
      <w:pPr>
        <w:pStyle w:val="645"/>
        <w:jc w:val="center"/>
        <w:rPr>
          <w:rFonts w:ascii="Tinos" w:hAnsi="Tinos" w:cs="Tinos"/>
          <w:b/>
          <w:color w:val="000000"/>
          <w:sz w:val="26"/>
          <w:szCs w:val="26"/>
        </w:rPr>
      </w:pPr>
      <w:r>
        <w:rPr>
          <w:rFonts w:ascii="Tinos" w:hAnsi="Tinos" w:eastAsia="Tinos" w:cs="Tinos"/>
          <w:b/>
          <w:color w:val="000000"/>
          <w:sz w:val="26"/>
          <w:szCs w:val="26"/>
        </w:rPr>
        <w:t xml:space="preserve">Отчет Представительного Собрания</w:t>
      </w:r>
      <w:r>
        <w:rPr>
          <w:rFonts w:ascii="Tinos" w:hAnsi="Tinos" w:cs="Tinos"/>
          <w:b/>
          <w:color w:val="000000"/>
          <w:sz w:val="26"/>
          <w:szCs w:val="26"/>
        </w:rPr>
      </w:r>
      <w:r>
        <w:rPr>
          <w:rFonts w:ascii="Tinos" w:hAnsi="Tinos" w:cs="Tinos"/>
          <w:b/>
          <w:color w:val="000000"/>
          <w:sz w:val="26"/>
          <w:szCs w:val="26"/>
        </w:rPr>
      </w:r>
    </w:p>
    <w:p>
      <w:pPr>
        <w:pStyle w:val="645"/>
        <w:jc w:val="center"/>
        <w:rPr>
          <w:rFonts w:ascii="Tinos" w:hAnsi="Tinos" w:cs="Tinos"/>
          <w:b/>
          <w:color w:val="000000"/>
          <w:sz w:val="26"/>
          <w:szCs w:val="26"/>
        </w:rPr>
      </w:pPr>
      <w:r>
        <w:rPr>
          <w:rFonts w:ascii="Tinos" w:hAnsi="Tinos" w:eastAsia="Tinos" w:cs="Tinos"/>
          <w:b/>
          <w:color w:val="000000"/>
          <w:sz w:val="26"/>
          <w:szCs w:val="26"/>
        </w:rPr>
        <w:t xml:space="preserve">Кирилловского муниципального округа Вологодской области</w:t>
      </w:r>
      <w:r>
        <w:rPr>
          <w:rFonts w:ascii="Tinos" w:hAnsi="Tinos" w:cs="Tinos"/>
          <w:b/>
          <w:color w:val="000000"/>
          <w:sz w:val="26"/>
          <w:szCs w:val="26"/>
        </w:rPr>
      </w:r>
      <w:r>
        <w:rPr>
          <w:rFonts w:ascii="Tinos" w:hAnsi="Tinos" w:cs="Tinos"/>
          <w:b/>
          <w:color w:val="000000"/>
          <w:sz w:val="26"/>
          <w:szCs w:val="26"/>
        </w:rPr>
      </w:r>
    </w:p>
    <w:p>
      <w:pPr>
        <w:pStyle w:val="645"/>
        <w:jc w:val="center"/>
        <w:rPr>
          <w:rFonts w:ascii="Tinos" w:hAnsi="Tinos" w:cs="Tinos"/>
          <w:b/>
          <w:color w:val="000000"/>
          <w:sz w:val="26"/>
          <w:szCs w:val="26"/>
        </w:rPr>
      </w:pPr>
      <w:r>
        <w:rPr>
          <w:rFonts w:ascii="Tinos" w:hAnsi="Tinos" w:eastAsia="Tinos" w:cs="Tinos"/>
          <w:b/>
          <w:color w:val="000000"/>
          <w:sz w:val="26"/>
          <w:szCs w:val="26"/>
        </w:rPr>
        <w:t xml:space="preserve">1 созыва о результатах деятельности за 2025 год</w:t>
      </w:r>
      <w:r>
        <w:rPr>
          <w:rFonts w:ascii="Tinos" w:hAnsi="Tinos" w:eastAsia="Tinos" w:cs="Tinos"/>
          <w:b/>
          <w:color w:val="000000"/>
          <w:sz w:val="26"/>
          <w:szCs w:val="26"/>
        </w:rPr>
        <w:br w:type="textWrapping" w:clear="all"/>
      </w:r>
      <w:r>
        <w:rPr>
          <w:rFonts w:ascii="Tinos" w:hAnsi="Tinos" w:cs="Tinos"/>
          <w:b/>
          <w:color w:val="000000"/>
          <w:sz w:val="26"/>
          <w:szCs w:val="26"/>
        </w:rPr>
      </w:r>
      <w:r>
        <w:rPr>
          <w:rFonts w:ascii="Tinos" w:hAnsi="Tinos" w:cs="Tinos"/>
          <w:b/>
          <w:color w:val="000000"/>
          <w:sz w:val="26"/>
          <w:szCs w:val="26"/>
        </w:rPr>
      </w:r>
    </w:p>
    <w:p>
      <w:pPr>
        <w:pStyle w:val="645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ab/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Представительное Собрание Кирилловского муниципального округа Волого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ской области первого созыва сформировано в сентябре 2023 года. На 31 декабря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         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2025 года в его состав входят 14 депутатов, избранных на прямых выборах по трем многомандатным округам; срок их полномочий составляет 5 лет (в 2025 году 1 деп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у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тат сложил досрочно полномочия в связи с переходом на работу несовместимую с 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ятельностью депутатов). Представительный орган возглавляет председатель, избра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ный из состава депутатов открытым голосованием. Представительное Собрание вх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дит в систему органов местного самоуправления округа, представляет интересы нас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ления и приним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ет решения, действующие на всей его территории.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Работа Представительного Собрания в течение года была организована в соо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ветствии с федеральным и областным законодательством, Уставом Кирилловского муниципального округа, муниципальными нормативными правовыми актами, Регл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ментом и годовым планом работы, утвержденным в декабре 2024 года. План форм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руется с учетом предложений депутатов, главы округа, 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трудников администрации и контрольно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счетного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комитета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, </w:t>
      </w:r>
      <w:r>
        <w:rPr>
          <w:rFonts w:eastAsia="Tinos"/>
          <w:sz w:val="26"/>
          <w:szCs w:val="26"/>
          <w:lang w:eastAsia="zh-CN"/>
        </w:rPr>
        <w:t xml:space="preserve">включает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мер</w:t>
      </w:r>
      <w:r>
        <w:rPr>
          <w:rFonts w:eastAsia="Tinos"/>
          <w:sz w:val="26"/>
          <w:szCs w:val="26"/>
          <w:lang w:eastAsia="zh-CN"/>
        </w:rPr>
        <w:t xml:space="preserve">о</w:t>
      </w:r>
      <w:r>
        <w:rPr>
          <w:rFonts w:eastAsia="Tinos"/>
          <w:sz w:val="26"/>
          <w:szCs w:val="26"/>
          <w:lang w:eastAsia="zh-CN"/>
        </w:rPr>
        <w:t xml:space="preserve">приятия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по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законотворчеству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, </w:t>
      </w:r>
      <w:r>
        <w:rPr>
          <w:rFonts w:eastAsia="Tinos"/>
          <w:sz w:val="26"/>
          <w:szCs w:val="26"/>
          <w:lang w:eastAsia="zh-CN"/>
        </w:rPr>
        <w:t xml:space="preserve">работе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избирателями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, </w:t>
      </w:r>
      <w:r>
        <w:rPr>
          <w:rFonts w:eastAsia="Tinos"/>
          <w:sz w:val="26"/>
          <w:szCs w:val="26"/>
          <w:lang w:eastAsia="zh-CN"/>
        </w:rPr>
        <w:t xml:space="preserve">обучению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депутатов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освещению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деятельно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сти органа. В течение г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да он дополняется новыми вопросами - чаще всего из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за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изменений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законодательства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или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необходимости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оперативно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решать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задачи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социально</w:t>
      </w:r>
      <w:r>
        <w:rPr>
          <w:rFonts w:eastAsia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экономического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развития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округа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В составе Представительного Собрания действуют три комиссии: по бюджету и экономике, по социальной политике и по вопросам местного самоуправления и 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путатской деятельности. За год они провели 12 заседаний, рассмотрев 67 вопросов, в том числе в формате совместных встреч. Большинство инициатив предварительно обсуждались депутатским объединением ВПП «Единая Россия», куда входят все 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путаты, участвовавшие в выборных камп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ниях при поддержке партии. 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Заседания Представительного Собрания считаются правомочными при прису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ствии не менее половины депутатов, а по ряду вопросов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двух третей от их общего числа. В отчетном периоде явка была высокой, отмены из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за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отсутствия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кворума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не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допускалось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. </w:t>
      </w:r>
      <w:r>
        <w:rPr>
          <w:rFonts w:eastAsia="Tinos"/>
          <w:sz w:val="26"/>
          <w:szCs w:val="26"/>
          <w:lang w:eastAsia="zh-CN"/>
        </w:rPr>
        <w:t xml:space="preserve">Всего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на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14 </w:t>
      </w:r>
      <w:r>
        <w:rPr>
          <w:rFonts w:eastAsia="Tinos"/>
          <w:sz w:val="26"/>
          <w:szCs w:val="26"/>
          <w:lang w:eastAsia="zh-CN"/>
        </w:rPr>
        <w:t xml:space="preserve">заседаниях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рассмотрено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144 </w:t>
      </w:r>
      <w:r>
        <w:rPr>
          <w:rFonts w:eastAsia="Tinos"/>
          <w:sz w:val="26"/>
          <w:szCs w:val="26"/>
          <w:lang w:eastAsia="zh-CN"/>
        </w:rPr>
        <w:t xml:space="preserve">вопроса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, </w:t>
      </w:r>
      <w:r>
        <w:rPr>
          <w:rFonts w:eastAsia="Tinos"/>
          <w:sz w:val="26"/>
          <w:szCs w:val="26"/>
          <w:lang w:eastAsia="zh-CN"/>
        </w:rPr>
        <w:t xml:space="preserve">по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132 </w:t>
      </w:r>
      <w:r>
        <w:rPr>
          <w:rFonts w:eastAsia="Tinos"/>
          <w:sz w:val="26"/>
          <w:szCs w:val="26"/>
          <w:lang w:eastAsia="zh-CN"/>
        </w:rPr>
        <w:t xml:space="preserve">из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них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прин</w:t>
      </w:r>
      <w:r>
        <w:rPr>
          <w:rFonts w:eastAsia="Tinos"/>
          <w:sz w:val="26"/>
          <w:szCs w:val="26"/>
          <w:lang w:eastAsia="zh-CN"/>
        </w:rPr>
        <w:t xml:space="preserve">я</w:t>
      </w:r>
      <w:r>
        <w:rPr>
          <w:rFonts w:eastAsia="Tinos"/>
          <w:sz w:val="26"/>
          <w:szCs w:val="26"/>
          <w:lang w:eastAsia="zh-CN"/>
        </w:rPr>
        <w:t xml:space="preserve">ты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решения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Ключевое направление работы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утверждение бюджета округа и контроль за его исполнением. Депутаты единогласно приняли бюджет на 2026 год и плановый период 2027–2028 годов, предварительно обсудив его на комиссиях и публичных слушаниях. Прогнозируемый объем доходов на 2026 год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1098,8 млн руб. (65,1% к уровню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             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2025 года), в т. ч.: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налоговые и неналоговые доходы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344,8 млн руб.;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безвозмездные поступления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753,9 млн руб.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На 2027 и 2028 годы доходы запланированы в размере 691,5 млн руб.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             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714,5 млн руб. соответственно. Бюджет 2026 года предусматривает дефицит 16,3 млн руб. (10% от собственных доходов без учета дополнительных нормативов). Расходная часть сформирована на программной основе: в проект включены расходы на 8 мун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ципальных программ, программные расходы составят 99,9% общего объема ежего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но. Структура расходов на 2026 год: социальная сфера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53,9%; ЖКХ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30,6%; пр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граммы социально</w:t>
      </w:r>
      <w:r>
        <w:rPr>
          <w:rFonts w:hint="eastAsia" w:ascii="MS Mincho" w:hAnsi="MS Mincho" w:eastAsia="MS Mincho" w:cs="MS Mincho"/>
          <w:sz w:val="26"/>
          <w:szCs w:val="26"/>
          <w:lang w:eastAsia="zh-CN"/>
        </w:rPr>
        <w:t xml:space="preserve">‑</w:t>
      </w:r>
      <w:r>
        <w:rPr>
          <w:rFonts w:eastAsia="Tinos"/>
          <w:sz w:val="26"/>
          <w:szCs w:val="26"/>
          <w:lang w:eastAsia="zh-CN"/>
        </w:rPr>
        <w:t xml:space="preserve">экономического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ра</w:t>
      </w:r>
      <w:r>
        <w:rPr>
          <w:rFonts w:eastAsia="Tinos"/>
          <w:sz w:val="26"/>
          <w:szCs w:val="26"/>
          <w:lang w:eastAsia="zh-CN"/>
        </w:rPr>
        <w:t xml:space="preserve">з</w:t>
      </w:r>
      <w:r>
        <w:rPr>
          <w:rFonts w:eastAsia="Tinos"/>
          <w:sz w:val="26"/>
          <w:szCs w:val="26"/>
          <w:lang w:eastAsia="zh-CN"/>
        </w:rPr>
        <w:t xml:space="preserve">вития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15,5%.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Бюджет 2025 года исполнен в следующих параметрах: получены доходы в ра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з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мере 1681 млн. руб. Из этой суммы 309 млн. руб. составили собственные поступл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ния, а 1372 млн. руб. поступили из вышестоящих бюджетов. Сравнительный анализ показывает заметный рост доходной базы: по отношению к 2021 году она увелич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лась на 917,3 млн. руб. В течение года депутаты утверждали изменения в бюджет, что позв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лило превысить первоначально утвержденный объем бюджета. Дополнительные ф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нансовые ресурсы позволили решить ряд неотложных задач, которые изначально не имели достаточного 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нежного обеспечения.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Общие расходы за 2025 год составили 1619 млн. руб. Такой рост расходных обязательств свидетельствует об активной работе по улучшению качества жизни в округе. Приоритетным направлением стало финансирование сфер, имеющих ключ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вое значение для каждого жителя. Так, на социальный блок было направлено 42 % от общего объема расходов. Кроме того, 820 млн. руб., что соответствует 50,6 % от всех затрат, инвестировали в развитие округа.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Депутатами в 2025 году утверждены отчеты главы округа, администрации и контрольно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счетного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комитета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по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итогам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работы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за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2024 </w:t>
      </w:r>
      <w:r>
        <w:rPr>
          <w:rFonts w:eastAsia="Tinos"/>
          <w:sz w:val="26"/>
          <w:szCs w:val="26"/>
          <w:lang w:eastAsia="zh-CN"/>
        </w:rPr>
        <w:t xml:space="preserve">год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, </w:t>
      </w:r>
      <w:r>
        <w:rPr>
          <w:rFonts w:eastAsia="Tinos"/>
          <w:sz w:val="26"/>
          <w:szCs w:val="26"/>
          <w:lang w:eastAsia="zh-CN"/>
        </w:rPr>
        <w:t xml:space="preserve">нормативная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база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пр</w:t>
      </w:r>
      <w:r>
        <w:rPr>
          <w:rFonts w:eastAsia="Tinos"/>
          <w:sz w:val="26"/>
          <w:szCs w:val="26"/>
          <w:lang w:eastAsia="zh-CN"/>
        </w:rPr>
        <w:t xml:space="preserve">и</w:t>
      </w:r>
      <w:r>
        <w:rPr>
          <w:rFonts w:eastAsia="Tinos"/>
          <w:sz w:val="26"/>
          <w:szCs w:val="26"/>
          <w:lang w:eastAsia="zh-CN"/>
        </w:rPr>
        <w:t xml:space="preserve">в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одилась в соответствие с федеральным и областным законодательством. Особый 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к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цент сделан на поддержке предпринимательства: 17 заявителям предоставлено в аренду муниципальное имущество без торгов, один субъект малого и среднего бизн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са реализовал преимущественное право выкупа. Также поддержаны обращения Вел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коустюгской Думы в Законодательное Собрание области по вопросам бесплатного питания школьников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детей участников СВО и специальных выплат работникам Б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ю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ро суде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б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медицинской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экспертизы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За год про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ведено 4 публичных слушания, в том числе по исполнению бюджета за 2024 год, бюджету на 2026–2028 годы и изменениям в Устав округа. Депутаты проанализировали работу ОМВД России «Кирилловский» и БУЗ «Кирилловская ЦРБ», рассмотрели вопросы управления земельно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имущес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твенным комплексом, 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циальной поддержки участников СВО и их семей. Заслушивались отчеты о реализ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ции муниц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пальных программ: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«Обеспечение населения Кирилловского округа Вологодской области досту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п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ным жильем и формирование комфортной среды проживания на 2024–2029 годы»;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«Совершенствование муниципального управления в Кирилловском муниц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пальном районе на 2024–2028 годы»;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«Сохранение и развитие культурного потенциала Кирилловского района на 2020–2025 годы»;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«Развитие физической культуры, спорта и молодежной политики в Кирилло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в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ском муниципальном округе на 2025–2029 годы».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Особое внимание уделялось вопросам газификации округа и благоустройству населенных пунктов через участие в федеральных программах. 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путаты, с учетом своей основной профессиональной направленности, активно участвовали в реализ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ции программы «Светлые улицы Вологодчины», контролировали организацию в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ы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ездной торговли и содержание дорог.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Представительное Собрание продолжило активно взаимодействовать с друг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ми органами власти. Глава округа, утвержденный решением Представительного 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брания, участвует в заседаниях представительного органа и подписывает нормати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в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ные акты совместно с председателем. Контрольно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счетный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комитет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проводит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вне</w:t>
      </w:r>
      <w:r>
        <w:rPr>
          <w:rFonts w:eastAsia="Tinos"/>
          <w:sz w:val="26"/>
          <w:szCs w:val="26"/>
          <w:lang w:eastAsia="zh-CN"/>
        </w:rPr>
        <w:t xml:space="preserve">ш</w:t>
      </w:r>
      <w:r>
        <w:rPr>
          <w:rFonts w:eastAsia="Tinos"/>
          <w:sz w:val="26"/>
          <w:szCs w:val="26"/>
          <w:lang w:eastAsia="zh-CN"/>
        </w:rPr>
        <w:t xml:space="preserve">ний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финансовый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контроль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, </w:t>
      </w:r>
      <w:r>
        <w:rPr>
          <w:rFonts w:eastAsia="Tinos"/>
          <w:sz w:val="26"/>
          <w:szCs w:val="26"/>
          <w:lang w:eastAsia="zh-CN"/>
        </w:rPr>
        <w:t xml:space="preserve">дает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заключения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по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бю</w:t>
      </w:r>
      <w:r>
        <w:rPr>
          <w:rFonts w:eastAsia="Tinos"/>
          <w:sz w:val="26"/>
          <w:szCs w:val="26"/>
          <w:lang w:eastAsia="zh-CN"/>
        </w:rPr>
        <w:t xml:space="preserve">д</w:t>
      </w:r>
      <w:r>
        <w:rPr>
          <w:rFonts w:eastAsia="Tinos"/>
          <w:sz w:val="26"/>
          <w:szCs w:val="26"/>
          <w:lang w:eastAsia="zh-CN"/>
        </w:rPr>
        <w:t xml:space="preserve">жетным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вопросам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участв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ует в работе комиссии по бюджету и экономике. Выстроено сотрудничество с прокурат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у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рой округа и природоохранной прокуратурой: проекты решений направляются на экспертизу за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        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5 дней до заседания.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Депутаты входят в рабочие группы по туризму, бизнесу, противодействию коррупции, антитеррористическим мерам, а также в Комиссию по безопасности 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рожн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го движения; Градостроительный совет при администрации округа; Совет по противодействию коррупции в Кирилловском муниципальном округе; Организац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онный комитет по подготовке и проведению празднования Победы в Великой Отеч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ственной войне.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Важную роль играет взаимодействие с общественностью. Депутаты сотрудн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чают с Общественным советом, Молодежным парламентом (утверждено положение, сформирован новый состав парламента), Советом ветеранов и Женсоветом. Совмес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но решаются вопросы газификации, благоустройства населенных пунктов через ф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деральные и региональные программы. Старосты населенных пунктов, утвержденные решениями Представительного Собрания, помогают оперативно реагировать на 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б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ращения жителей, инициировать субботники и проекты «Народного бюджета». В 2025 году успешно реализовано 37 проектов, направлены 42 заявки для участия в проекте на 2026 год.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 Депутаты участвуют в патриотических мероприятиях с учреждениями образ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вания и культуры, органами местного самоуправления, а также в общественном ко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троле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плановых осмотрах и рейдах по благоустройству, озел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нению и содержанию территорий.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Открытость законодательной власти обеспечивается через: отчетно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информационные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конференции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главы округа с участием депутатов (проведено 19 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роприятий на сельской территории и в трудовых коллективах); публикации в газете «Новая жизнь» и ее приложении «Официальный вестник»; размещение нормативных актов на сайте администрации и в системе «КонсультантПлюс»; официальные стр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ницы органов местного самоуправления в социальных сетях, включая страницу Представительного Собрания округа и председателя Представительного Собрания округа; инте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нет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приемную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на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официальном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сайте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Кирилловского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округа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Депутаты активно используют социальные сети для общения с избирателями: обращения в личных сообщениях берутся на контроль, ответы публикуются в рубр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ке «Спрашивали? Отвечаем!». Информация о крупных решениях доводится через СМИ. 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В рамках декларационной кампании все депутаты своевременно пред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ставили в Администрацию Губернатора уведомления о доходах, расходах, имуществе и об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зательствах имущественного характера, включая данные о супругах и несовершенн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летних детях. 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Отдельное направление работы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реализация «Народной программы» депута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ского объединения ВПП «Единая Россия». Контроль за исполнением наказов закре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п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лен за депутатами округа и областного уровня. Из наиболее значимых можно отм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тить ремонты региональных и местных дорог, благоустро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й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ство населенных пунктов, включая установку детских площадок, проведены масштабные работы на системах водо-, теплоснабжения, водоотведения в г. Кириллове, отремонтированы детские 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ды в Талицах и в г. Кириллове, Дом детского творчества, обновлены фасады Центра физкультуры и спорта, начат ремонт Кирилловской ЦРБ. 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Ведется наградная деятельность. Депутаты рассматривают ходатайства о пре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ставлении кирилловчан к муниципальным наградам, званию «Почетный гражданин Кирилловского округа», а также к званию «Человек труда Волого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д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ской области».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Деятельность Представительного Собрания в 2025 году была выстроена с уч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е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том современных вызовов и направлена на улучшение качества жизни к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рилловчан, обеспечение стабильности и социально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экономического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развития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округа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. 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ind w:firstLine="708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 xml:space="preserve">Достигнуты следующие ключевые результаты: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ab/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 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утвержден бюджет на 2026 год с акцентом на социальную сферу и ЖКХ;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ab/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 усилен контроль за расходованием бюджетных средств через взаимодействие с ко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трольно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</w:t>
      </w:r>
      <w:r>
        <w:rPr>
          <w:rFonts w:eastAsia="Tinos"/>
          <w:sz w:val="26"/>
          <w:szCs w:val="26"/>
          <w:lang w:eastAsia="zh-CN"/>
        </w:rPr>
        <w:t xml:space="preserve">счетным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комитетом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 </w:t>
      </w:r>
      <w:r>
        <w:rPr>
          <w:rFonts w:eastAsia="Tinos"/>
          <w:sz w:val="26"/>
          <w:szCs w:val="26"/>
          <w:lang w:eastAsia="zh-CN"/>
        </w:rPr>
        <w:t xml:space="preserve">прокуратурой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;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ab/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 налажено конструктивное взаимодействие с бизнесом, общественными орг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а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низац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и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ями и жителями округа;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ab/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 повышена прозрачность работы органов местного самоуправления через с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временные каналы коммуникации;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jc w:val="both"/>
        <w:rPr>
          <w:rFonts w:ascii="Tinos" w:hAnsi="Tinos" w:cs="Tinos"/>
          <w:sz w:val="26"/>
          <w:szCs w:val="26"/>
          <w:lang w:eastAsia="zh-CN"/>
        </w:rPr>
      </w:pPr>
      <w:r>
        <w:rPr>
          <w:rFonts w:ascii="Tinos" w:hAnsi="Tinos" w:eastAsia="Tinos" w:cs="Tinos"/>
          <w:sz w:val="26"/>
          <w:szCs w:val="26"/>
          <w:lang w:eastAsia="zh-CN"/>
        </w:rPr>
        <w:tab/>
      </w:r>
      <w:r>
        <w:rPr>
          <w:rFonts w:ascii="Tinos" w:hAnsi="Tinos" w:eastAsia="Tinos" w:cs="Tinos"/>
          <w:sz w:val="26"/>
          <w:szCs w:val="26"/>
          <w:lang w:eastAsia="zh-CN"/>
        </w:rPr>
        <w:t xml:space="preserve">- обеспечено исполнение федеральных и региональных инициатив на террит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о</w:t>
      </w:r>
      <w:r>
        <w:rPr>
          <w:rFonts w:ascii="Tinos" w:hAnsi="Tinos" w:eastAsia="Tinos" w:cs="Tinos"/>
          <w:sz w:val="26"/>
          <w:szCs w:val="26"/>
          <w:lang w:eastAsia="zh-CN"/>
        </w:rPr>
        <w:t xml:space="preserve">рии округа.</w:t>
      </w:r>
      <w:r>
        <w:rPr>
          <w:rFonts w:ascii="Tinos" w:hAnsi="Tinos" w:cs="Tinos"/>
          <w:sz w:val="26"/>
          <w:szCs w:val="26"/>
          <w:lang w:eastAsia="zh-CN"/>
        </w:rPr>
      </w:r>
      <w:r>
        <w:rPr>
          <w:rFonts w:ascii="Tinos" w:hAnsi="Tinos" w:cs="Tinos"/>
          <w:sz w:val="26"/>
          <w:szCs w:val="26"/>
          <w:lang w:eastAsia="zh-CN"/>
        </w:rPr>
      </w:r>
    </w:p>
    <w:p>
      <w:pPr>
        <w:pStyle w:val="645"/>
        <w:spacing w:line="360" w:lineRule="auto"/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645"/>
        <w:spacing w:line="360" w:lineRule="auto"/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</w:p>
    <w:sectPr>
      <w:headerReference w:type="default" r:id="rId8"/>
      <w:footerReference w:type="default" r:id="rId9"/>
      <w:footnotePr/>
      <w:endnotePr/>
      <w:type w:val="nextPage"/>
      <w:pgSz w:w="11907" w:h="16840" w:orient="portrait"/>
      <w:pgMar w:top="1134" w:right="851" w:bottom="851" w:left="1418" w:header="720" w:footer="40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9"/>
      <w:rPr>
        <w:sz w:val="12"/>
        <w:szCs w:val="12"/>
      </w:rPr>
    </w:pPr>
    <w:r>
      <w:rPr>
        <w:sz w:val="12"/>
        <w:szCs w:val="12"/>
      </w:rPr>
      <w:t xml:space="preserve">18552</w:t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6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rPr>
      <w:lang w:val="ru-RU" w:eastAsia="ru-RU" w:bidi="ar-SA"/>
    </w:rPr>
  </w:style>
  <w:style w:type="character" w:styleId="646">
    <w:name w:val="Основной шрифт абзаца"/>
    <w:next w:val="646"/>
    <w:link w:val="645"/>
    <w:semiHidden/>
  </w:style>
  <w:style w:type="table" w:styleId="647">
    <w:name w:val="Обычная таблица"/>
    <w:next w:val="647"/>
    <w:link w:val="645"/>
    <w:uiPriority w:val="99"/>
    <w:semiHidden/>
    <w:unhideWhenUsed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Нижний колонтитул"/>
    <w:basedOn w:val="645"/>
    <w:next w:val="649"/>
    <w:link w:val="6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0">
    <w:name w:val="Нижний колонтитул Знак"/>
    <w:basedOn w:val="646"/>
    <w:next w:val="650"/>
    <w:link w:val="649"/>
    <w:uiPriority w:val="99"/>
  </w:style>
  <w:style w:type="paragraph" w:styleId="651">
    <w:name w:val="Верхний колонтитул"/>
    <w:basedOn w:val="645"/>
    <w:next w:val="651"/>
    <w:link w:val="6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2">
    <w:name w:val="Верхний колонтитул Знак"/>
    <w:basedOn w:val="646"/>
    <w:next w:val="652"/>
    <w:link w:val="651"/>
    <w:uiPriority w:val="99"/>
  </w:style>
  <w:style w:type="character" w:styleId="1589" w:default="1">
    <w:name w:val="Default Paragraph Font"/>
    <w:uiPriority w:val="1"/>
    <w:semiHidden/>
    <w:unhideWhenUsed/>
  </w:style>
  <w:style w:type="numbering" w:styleId="1590" w:default="1">
    <w:name w:val="No List"/>
    <w:uiPriority w:val="99"/>
    <w:semiHidden/>
    <w:unhideWhenUsed/>
  </w:style>
  <w:style w:type="table" w:styleId="15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Администрация Вологодской области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Аксеновский Андрей Геннадьевич</dc:creator>
  <cp:revision>3</cp:revision>
  <dcterms:created xsi:type="dcterms:W3CDTF">2026-04-01T11:23:00Z</dcterms:created>
  <dcterms:modified xsi:type="dcterms:W3CDTF">2026-04-01T11:18:09Z</dcterms:modified>
  <cp:version>917504</cp:version>
</cp:coreProperties>
</file>