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ОТЧЕТ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деятельности контрольно-счетного комитета Представительного Собрания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Кирилловского муниципального района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за 2018 год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Общие сведения</w:t>
      </w:r>
    </w:p>
    <w:p>
      <w:pPr>
        <w:pStyle w:val="Normal"/>
        <w:spacing w:before="0" w:after="0"/>
        <w:ind w:left="360" w:hanging="0"/>
        <w:jc w:val="center"/>
        <w:rPr/>
      </w:pPr>
      <w:r>
        <w:rPr/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rFonts w:eastAsia="Calibri" w:cs="Times New Roman" w:ascii="Times New Roman" w:hAnsi="Times New Roman"/>
          <w:sz w:val="25"/>
          <w:szCs w:val="25"/>
        </w:rPr>
        <w:t>Настоящий отчет о деятельности контрольно-счетного комитета Представительного Собрания Кирилловского муниципального района  (далее – Контрольно-счетный комитет) представлен на рассмотрение Представительного Собрания Кирилловского муниципального района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статьей 19 «Положения о контрольно-счетном комитете Представительного Собрания Кирилловского муниципального района», утвержденного решением Представительного Собрания от 27 декабря 2013 года  №58.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В отчете представлены результаты деятельности контрольно-счетного комитета в 2018 году по выполнению установленных законодательством  полномочий.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Контрольно-счетный комитет в соответствии со статьей 1 Положения о контрольно-счетном комитете является постоянно действующим органом внешнего муниципального финансового контроля. Д</w:t>
      </w:r>
      <w:r>
        <w:rPr>
          <w:rFonts w:eastAsia="Calibri" w:cs="Times New Roman" w:ascii="Times New Roman" w:hAnsi="Times New Roman"/>
          <w:sz w:val="25"/>
          <w:szCs w:val="25"/>
        </w:rPr>
        <w:t xml:space="preserve">еятельность комитета осуществляется с соблюдением принципов законности, объективности, </w:t>
      </w:r>
      <w:r>
        <w:rPr>
          <w:rFonts w:cs="Times New Roman" w:ascii="Times New Roman" w:hAnsi="Times New Roman"/>
          <w:sz w:val="25"/>
          <w:szCs w:val="25"/>
        </w:rPr>
        <w:t>эффективности, независимости и гласности и направлена на обеспечение прозрачности бюджетного процесса, выявление, предотвращение и устранение нарушений при использовании средств муниципальных бюджетов, обеспечение объективной информацией Глав муниципальных образований,  депутатов, населения района.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rFonts w:eastAsia="Calibri" w:cs="Times New Roman" w:ascii="Times New Roman" w:hAnsi="Times New Roman"/>
          <w:sz w:val="25"/>
          <w:szCs w:val="25"/>
        </w:rPr>
        <w:t>Внешний муниципальный финансовый контроль осуществляется контрольно-счетным комитетом в форме контрольных и экспертно-аналитических мероприятий в отношении  органов местного самоуправления, бюджетных и автономных учреждений, муниципальных унитарных предприятий, а также иных организаций, если они используют имущество, находящееся в муниципальной собственности.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eastAsia="Times New Roman" w:ascii="Times New Roman" w:hAnsi="Times New Roman"/>
          <w:sz w:val="25"/>
          <w:szCs w:val="25"/>
        </w:rPr>
        <w:t>Работа контрольно-счетного комитета в отчетном году  осуществлялась в соответствии с годовым планом работы на 2018 год, утвержденным приказом председателя контрольно-счетного комитета и согласованным с Главой района, председателем Представительного Собрания Кирилловского муниципального района.  В течение года в план работы были внесены изменения, в связи с заключением соглашения с Контрольно-счетной палатой Вологодской области о проведении совместного контрольного мероприятия «</w:t>
      </w:r>
      <w:r>
        <w:rPr>
          <w:rFonts w:cs="Times New Roman" w:ascii="Times New Roman" w:hAnsi="Times New Roman"/>
          <w:sz w:val="25"/>
          <w:szCs w:val="25"/>
        </w:rPr>
        <w:t>Проверка использования межбюджетных трансфертов, выделенных Кирилловскому муниципальному району и входящим в его состав сельским поселениям» и исключением  контрольного мероприятия    «</w:t>
      </w:r>
      <w:r>
        <w:rPr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Анализ формирования и предоставления  дотации из районного бюджета на выравнивание бюджетной обеспеченности бюджетов поселений и дотации на поддержку мер по обеспечению сбалансированности бюджетов поселений района на 2018 год»</w:t>
      </w:r>
      <w:r>
        <w:rPr>
          <w:sz w:val="25"/>
          <w:szCs w:val="25"/>
        </w:rPr>
        <w:t>.</w:t>
      </w:r>
      <w:r>
        <w:rPr>
          <w:rFonts w:cs="Times New Roman" w:ascii="Times New Roman" w:hAnsi="Times New Roman"/>
          <w:sz w:val="25"/>
          <w:szCs w:val="25"/>
        </w:rPr>
        <w:t xml:space="preserve"> 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Calibri" w:cs="Times New Roman" w:ascii="Times New Roman" w:hAnsi="Times New Roman"/>
          <w:b/>
          <w:sz w:val="25"/>
          <w:szCs w:val="25"/>
        </w:rPr>
        <w:t>2. Основные итоги деятельности в 2018 году</w:t>
      </w:r>
    </w:p>
    <w:p>
      <w:pPr>
        <w:pStyle w:val="Normal"/>
        <w:spacing w:before="0" w:after="0"/>
        <w:ind w:firstLine="708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Основными направлениями деятельности контрольно-счетного комитета в сфере осуществления внешнего муниципального финансового контроля является проведение контрольных и экспертно-аналитических мероприятий.</w:t>
      </w:r>
    </w:p>
    <w:p>
      <w:pPr>
        <w:pStyle w:val="ConsPlusTitle"/>
        <w:numPr>
          <w:ilvl w:val="0"/>
          <w:numId w:val="0"/>
        </w:numPr>
        <w:spacing w:lineRule="auto" w:line="276"/>
        <w:ind w:left="0" w:right="0" w:firstLine="708"/>
        <w:jc w:val="both"/>
        <w:outlineLvl w:val="0"/>
        <w:rPr/>
      </w:pPr>
      <w:r>
        <w:rPr>
          <w:rFonts w:cs="Times New Roman" w:ascii="Times New Roman" w:hAnsi="Times New Roman"/>
          <w:b w:val="false"/>
          <w:sz w:val="25"/>
          <w:szCs w:val="25"/>
        </w:rPr>
        <w:t>В течение 2018 года контрольно-счетным комитетом проведено 70 таких  мероприятий.  Из них 63 экспертно-аналитических и 7 контрольных.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                        </w:t>
      </w:r>
      <w:r>
        <w:rPr>
          <w:rFonts w:cs="Times New Roman" w:ascii="Times New Roman" w:hAnsi="Times New Roman"/>
          <w:b/>
          <w:i/>
          <w:sz w:val="25"/>
          <w:szCs w:val="25"/>
        </w:rPr>
        <w:t>Экспертно-аналитические мероприятия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В рамках  экспертно-аналитических мероприятий  в отчетном году:</w:t>
      </w:r>
    </w:p>
    <w:p>
      <w:pPr>
        <w:pStyle w:val="Normal"/>
        <w:spacing w:lineRule="auto" w:line="240" w:before="0" w:after="0"/>
        <w:ind w:hanging="567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проведена внешняя проверка годового отчета об исполнении бюджета Кирилловского муниципального района, в ходе которой, была оценена отчетность 6 главных администраторов районного бюджета;</w:t>
      </w:r>
    </w:p>
    <w:p>
      <w:pPr>
        <w:pStyle w:val="Normal"/>
        <w:spacing w:lineRule="auto" w:line="240" w:before="0" w:after="0"/>
        <w:ind w:hanging="567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 проведена внешняя проверка отчетов об исполнении бюджетов 7 поселений, входящих в состав Кирилловского муниципального района за 2017 год;</w:t>
      </w:r>
    </w:p>
    <w:p>
      <w:pPr>
        <w:pStyle w:val="Normal"/>
        <w:spacing w:lineRule="auto" w:line="240" w:before="0" w:after="0"/>
        <w:ind w:hanging="567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 проведена финансовая экспертиза  17 проектов решений представительных органов муниципальных образований о внесении изменений в решения о бюджете на 2018 год, из них – пять проектов решений Представительного Собрания Кирилловского муниципального района по внесению изменений в решение ПС о районном бюджете на 2018 год;</w:t>
      </w:r>
    </w:p>
    <w:p>
      <w:pPr>
        <w:pStyle w:val="Normal"/>
        <w:spacing w:lineRule="auto" w:line="240" w:before="0" w:after="0"/>
        <w:ind w:hanging="567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- проведена экспертиза  проекта решения  Представительного Собрания Кирилловского муниципального района  «О районном бюджете на 2019 год и плановый период 2020 и 2021 годов» и проектов решений Советов всех поселений о бюджетах поселений на 2019 год плановый период 2020 и 2021 годов;</w:t>
      </w:r>
    </w:p>
    <w:p>
      <w:pPr>
        <w:pStyle w:val="Normal"/>
        <w:spacing w:lineRule="auto" w:line="240" w:before="0" w:after="0"/>
        <w:ind w:hanging="567"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-  осуществлен анализ отчетов об исполнении, как районного бюджета, так и всех бюджетов поселений, входящих в состав Кирилловского района за </w:t>
      </w:r>
      <w:r>
        <w:rPr>
          <w:rFonts w:cs="Times New Roman" w:ascii="Times New Roman" w:hAnsi="Times New Roman"/>
          <w:sz w:val="25"/>
          <w:szCs w:val="25"/>
          <w:lang w:val="en-US"/>
        </w:rPr>
        <w:t>I</w:t>
      </w:r>
      <w:r>
        <w:rPr>
          <w:rFonts w:cs="Times New Roman" w:ascii="Times New Roman" w:hAnsi="Times New Roman"/>
          <w:sz w:val="25"/>
          <w:szCs w:val="25"/>
        </w:rPr>
        <w:t xml:space="preserve"> квартал, полугодие и 9 месяцев 2018 года. </w:t>
      </w:r>
    </w:p>
    <w:p>
      <w:pPr>
        <w:pStyle w:val="Normal"/>
        <w:spacing w:before="0" w:after="0"/>
        <w:ind w:left="-426" w:hanging="0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В результате данных мероприятий выявлено 117  нарушений  </w:t>
      </w:r>
      <w:r>
        <w:rPr>
          <w:rFonts w:cs="Times New Roman" w:ascii="Times New Roman" w:hAnsi="Times New Roman"/>
          <w:bCs/>
          <w:sz w:val="25"/>
          <w:szCs w:val="25"/>
        </w:rPr>
        <w:t>законодательства и муниципальных правовых актов при планировании и использовании бюджетных средств</w:t>
      </w:r>
      <w:r>
        <w:rPr>
          <w:rFonts w:cs="Times New Roman" w:ascii="Times New Roman" w:hAnsi="Times New Roman"/>
          <w:sz w:val="25"/>
          <w:szCs w:val="25"/>
        </w:rPr>
        <w:t xml:space="preserve">   на общую  сумму 5782,3 тыс. рублей.  Объем предложенных к устранению и устраненных нарушений составил 312,2 тыс. руб. </w:t>
      </w:r>
    </w:p>
    <w:p>
      <w:pPr>
        <w:pStyle w:val="Normal"/>
        <w:spacing w:before="0" w:after="0"/>
        <w:ind w:left="-426" w:hanging="0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По результатам  экспертно-аналитических мероприятий подготовлено 39 заключений, 24 информации, подготовлены и направлены органам местного самоуправления 2 информационных письма. По итогам экспертиза годовой отчетности главных распорядителей бюджетных средств в соответствии с частью 1 статьи 28.2, частью 8 статьи 9.2. Закона Вологодской области от 08.12.2015 года №2429 «Об административных правонарушениях в Вологодской области» был составлен протокол о совершении административного правонарушения на физическое лицо. Постановлением  Мирового судьи Вологодской области по судебному участку №49 виновному лицу было назначено  административное наказание в виде административного штрафа в размере 10,0 тыс. рублей. </w:t>
      </w:r>
    </w:p>
    <w:p>
      <w:pPr>
        <w:pStyle w:val="Normal"/>
        <w:spacing w:before="0" w:after="0"/>
        <w:ind w:left="-426" w:hanging="0"/>
        <w:contextualSpacing/>
        <w:jc w:val="both"/>
        <w:rPr/>
      </w:pPr>
      <w:r>
        <w:rPr/>
      </w:r>
    </w:p>
    <w:p>
      <w:pPr>
        <w:pStyle w:val="Normal"/>
        <w:spacing w:before="0" w:after="0"/>
        <w:ind w:left="-426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5"/>
          <w:szCs w:val="25"/>
        </w:rPr>
        <w:t>Контрольные мероприятия</w:t>
      </w:r>
    </w:p>
    <w:p>
      <w:pPr>
        <w:pStyle w:val="Normal"/>
        <w:spacing w:before="0" w:after="0"/>
        <w:ind w:left="-426" w:hanging="0"/>
        <w:contextualSpacing/>
        <w:jc w:val="center"/>
        <w:rPr/>
      </w:pPr>
      <w:r>
        <w:rPr/>
      </w:r>
    </w:p>
    <w:p>
      <w:pPr>
        <w:pStyle w:val="Style24"/>
        <w:spacing w:lineRule="auto" w:line="276" w:before="0" w:after="283"/>
        <w:ind w:left="-284" w:right="-28" w:firstLine="568"/>
        <w:rPr/>
      </w:pPr>
      <w:r>
        <w:rPr>
          <w:sz w:val="25"/>
          <w:szCs w:val="25"/>
        </w:rPr>
        <w:t xml:space="preserve">В течение отчетного года, как уже указано выше, проведено  7  контрольных  мероприятий.   </w:t>
      </w:r>
    </w:p>
    <w:p>
      <w:pPr>
        <w:pStyle w:val="Style24"/>
        <w:spacing w:lineRule="auto" w:line="276" w:before="0" w:after="283"/>
        <w:ind w:left="-284" w:right="-28" w:firstLine="568"/>
        <w:jc w:val="both"/>
        <w:rPr/>
      </w:pPr>
      <w:r>
        <w:rPr>
          <w:sz w:val="25"/>
          <w:szCs w:val="25"/>
        </w:rPr>
        <w:t>1.  Проверка  соблюдения требований законодательства Российской Федерации и иных НПА о контрактной системе в сфере закупок товаров, работ и услуг для обеспечения муниципальных нужд при осуществлении закупок МКУ КМР «  МФЦ предоставления государственных и муниципальных услуг на территории Кирилловского муниципального района»;</w:t>
      </w:r>
    </w:p>
    <w:p>
      <w:pPr>
        <w:pStyle w:val="Style24"/>
        <w:spacing w:lineRule="auto" w:line="276" w:before="0" w:after="283"/>
        <w:ind w:left="-284" w:right="-28" w:firstLine="568"/>
        <w:jc w:val="both"/>
        <w:rPr/>
      </w:pPr>
      <w:r>
        <w:rPr>
          <w:sz w:val="25"/>
          <w:szCs w:val="25"/>
        </w:rPr>
        <w:t>2.  Проверка целевого и эффективного использования средств районного бюджета, направленных на реализацию  муниципальной программы   «Развитие физической культуры и спорта в Кирилловском муниципальном районе  на 2014 – 2020 годы», включая экспертизу программы;</w:t>
      </w:r>
    </w:p>
    <w:p>
      <w:pPr>
        <w:pStyle w:val="Style24"/>
        <w:spacing w:lineRule="auto" w:line="276" w:before="0" w:after="283"/>
        <w:ind w:left="-284" w:right="-28" w:firstLine="568"/>
        <w:jc w:val="both"/>
        <w:rPr/>
      </w:pPr>
      <w:r>
        <w:rPr>
          <w:sz w:val="25"/>
          <w:szCs w:val="25"/>
        </w:rPr>
        <w:t xml:space="preserve">3. Проверка законности и своевременности расходования средств районного бюджета, выделенных поселениям Кирилловского муниципального района на осуществление переданных полномочий по дорожной деятельности, (Выборочно МО город Кириллов и СП Николоторжское); </w:t>
      </w:r>
    </w:p>
    <w:p>
      <w:pPr>
        <w:pStyle w:val="Style24"/>
        <w:spacing w:lineRule="auto" w:line="276" w:before="0" w:after="283"/>
        <w:ind w:left="-567" w:right="-30" w:firstLine="283"/>
        <w:jc w:val="both"/>
        <w:rPr/>
      </w:pPr>
      <w:r>
        <w:rPr>
          <w:sz w:val="25"/>
          <w:szCs w:val="25"/>
          <w:lang w:eastAsia="ru-RU"/>
        </w:rPr>
        <w:t>4.</w:t>
      </w:r>
      <w:r>
        <w:rPr>
          <w:sz w:val="25"/>
          <w:szCs w:val="25"/>
        </w:rPr>
        <w:t xml:space="preserve"> Проверка обеспечения учета, сохранности и эффективного использования муниципального имущества  администрацией сельское поселение Липовское;</w:t>
      </w:r>
    </w:p>
    <w:p>
      <w:pPr>
        <w:pStyle w:val="Style24"/>
        <w:spacing w:lineRule="auto" w:line="276" w:before="0" w:after="283"/>
        <w:ind w:left="-567" w:right="-30" w:firstLine="283"/>
        <w:jc w:val="both"/>
        <w:rPr/>
      </w:pPr>
      <w:r>
        <w:rPr>
          <w:sz w:val="25"/>
          <w:szCs w:val="25"/>
        </w:rPr>
        <w:t>5. Проверка обеспечения учета, сохранности и эффективного использования муниципального имущества  администрацией сельское поселение Алешинское;</w:t>
      </w:r>
    </w:p>
    <w:p>
      <w:pPr>
        <w:pStyle w:val="Style24"/>
        <w:spacing w:lineRule="auto" w:line="276" w:before="0" w:after="283"/>
        <w:ind w:left="-567" w:right="-30" w:firstLine="283"/>
        <w:jc w:val="both"/>
        <w:rPr/>
      </w:pPr>
      <w:r>
        <w:rPr>
          <w:rStyle w:val="Style9"/>
          <w:i w:val="false"/>
          <w:sz w:val="25"/>
          <w:szCs w:val="25"/>
        </w:rPr>
        <w:t>6. Проверка формирования показателей муниципального задания на оказание муниципальных услуг (выполнение работ) и расходования средств местного бюджета, направляемых в форме субсидий на финансовое обеспечение муниципального задания подведомственным Управлению образования администрации Кирилловского муниципального района на примере БОУ КМР ВО «Кирилловская средняя я школа имени Героя Советского Союза А.Г.Обухова;</w:t>
      </w:r>
    </w:p>
    <w:p>
      <w:pPr>
        <w:pStyle w:val="Style24"/>
        <w:spacing w:lineRule="auto" w:line="276" w:before="0" w:after="283"/>
        <w:ind w:left="-567" w:right="-30" w:firstLine="283"/>
        <w:jc w:val="both"/>
        <w:rPr/>
      </w:pPr>
      <w:r>
        <w:rPr>
          <w:rStyle w:val="Style9"/>
          <w:i w:val="false"/>
          <w:sz w:val="25"/>
          <w:szCs w:val="25"/>
        </w:rPr>
        <w:t xml:space="preserve">7. </w:t>
      </w:r>
      <w:r>
        <w:rPr>
          <w:sz w:val="25"/>
          <w:szCs w:val="25"/>
        </w:rPr>
        <w:t>Проверка использования межбюджетных трансфертов, выделенных Кирилловскому муниципальному району и входящим в его состав сельским поселениям.</w:t>
      </w:r>
    </w:p>
    <w:p>
      <w:pPr>
        <w:pStyle w:val="Style24"/>
        <w:spacing w:lineRule="auto" w:line="276" w:before="0" w:after="283"/>
        <w:ind w:left="-284" w:right="-28" w:firstLine="568"/>
        <w:rPr/>
      </w:pPr>
      <w:r>
        <w:rPr>
          <w:sz w:val="25"/>
          <w:szCs w:val="25"/>
        </w:rPr>
        <w:t xml:space="preserve">Контрольными  мероприятиями охвачено  11 объектов.   Объем проверенных бюджетных средств и стоимость муниципального  имущества, подвергнутых проверкам, составил 579 214,8 тыс. рублей, в том числе 3 804,2 тыс. рублей в сфере закупок.  </w:t>
      </w:r>
    </w:p>
    <w:p>
      <w:pPr>
        <w:pStyle w:val="Style24"/>
        <w:spacing w:lineRule="auto" w:line="276" w:before="0" w:after="283"/>
        <w:ind w:left="-284" w:right="-28" w:firstLine="568"/>
        <w:rPr/>
      </w:pPr>
      <w:r>
        <w:rPr>
          <w:sz w:val="25"/>
          <w:szCs w:val="25"/>
        </w:rPr>
        <w:t>По результатам контрольных мероприятий оформлено и подписано 11 актов.                                                                                 В</w:t>
      </w:r>
      <w:r>
        <w:rPr>
          <w:bCs/>
          <w:sz w:val="25"/>
          <w:szCs w:val="25"/>
        </w:rPr>
        <w:t>ыявлено 208 нарушений законодательства и муниципальных правовых актов при планировании и использовании бюджетных средств</w:t>
      </w:r>
      <w:r>
        <w:rPr>
          <w:sz w:val="25"/>
          <w:szCs w:val="25"/>
        </w:rPr>
        <w:t xml:space="preserve">   на общую  сумму 16073,57 тыс. рублей. Из них:</w:t>
      </w:r>
    </w:p>
    <w:p>
      <w:pPr>
        <w:pStyle w:val="Style24"/>
        <w:spacing w:lineRule="auto" w:line="276" w:before="0" w:after="283"/>
        <w:ind w:left="-284" w:right="-28" w:hanging="0"/>
        <w:jc w:val="both"/>
        <w:rPr/>
      </w:pPr>
      <w:r>
        <w:rPr>
          <w:sz w:val="25"/>
          <w:szCs w:val="25"/>
        </w:rPr>
        <w:t>- при формировании и исполнении бюджетов  64 нарушения  на сумму 15 499,3 тыс. рублей,</w:t>
      </w:r>
    </w:p>
    <w:p>
      <w:pPr>
        <w:pStyle w:val="Style24"/>
        <w:spacing w:lineRule="auto" w:line="276" w:before="0" w:after="283"/>
        <w:ind w:left="-284" w:right="-28" w:hanging="0"/>
        <w:jc w:val="both"/>
        <w:rPr/>
      </w:pPr>
      <w:r>
        <w:rPr>
          <w:sz w:val="25"/>
          <w:szCs w:val="25"/>
        </w:rPr>
        <w:t>- при ведении бухгалтерского учета, составления и предоставления бухгалтерской (финансовой) отчетности 5 нарушений;</w:t>
      </w:r>
    </w:p>
    <w:p>
      <w:pPr>
        <w:pStyle w:val="Style24"/>
        <w:spacing w:lineRule="auto" w:line="276" w:before="0" w:after="283"/>
        <w:ind w:left="-284" w:right="-28" w:hanging="0"/>
        <w:jc w:val="both"/>
        <w:rPr/>
      </w:pPr>
      <w:r>
        <w:rPr>
          <w:sz w:val="25"/>
          <w:szCs w:val="25"/>
        </w:rPr>
        <w:t>- в сфере управления и распоряжения муниципальной собственностью 116 нарушений;</w:t>
      </w:r>
    </w:p>
    <w:p>
      <w:pPr>
        <w:pStyle w:val="Style24"/>
        <w:spacing w:lineRule="auto" w:line="276" w:before="0" w:after="283"/>
        <w:ind w:left="-284" w:right="-28" w:hanging="0"/>
        <w:jc w:val="both"/>
        <w:rPr/>
      </w:pPr>
      <w:r>
        <w:rPr>
          <w:sz w:val="25"/>
          <w:szCs w:val="25"/>
        </w:rPr>
        <w:t>- при осуществлении муниципальных закупок 16 нарушений на сумму 261,8 тыс. руб.</w:t>
      </w:r>
    </w:p>
    <w:p>
      <w:pPr>
        <w:pStyle w:val="Style24"/>
        <w:spacing w:lineRule="auto" w:line="276" w:before="0" w:after="283"/>
        <w:ind w:left="-284" w:right="-28" w:firstLine="568"/>
        <w:jc w:val="both"/>
        <w:rPr/>
      </w:pPr>
      <w:r>
        <w:rPr>
          <w:sz w:val="25"/>
          <w:szCs w:val="25"/>
        </w:rPr>
        <w:t xml:space="preserve">Учет количества и с сумм нарушений в отчетном году осуществлялся в соответствии с  Классификатором нарушений, выявляемых в ходе внешнего государственного (муниципального) аудита (контроля) одобренного Коллегией Счетной палаты Российской Федерации 18 декабря 2014 года. </w:t>
      </w:r>
    </w:p>
    <w:p>
      <w:pPr>
        <w:pStyle w:val="Style24"/>
        <w:spacing w:lineRule="auto" w:line="276" w:before="0" w:after="283"/>
        <w:ind w:left="-567" w:right="-30" w:firstLine="283"/>
        <w:jc w:val="both"/>
        <w:rPr/>
      </w:pPr>
      <w:r>
        <w:rPr>
          <w:sz w:val="25"/>
          <w:szCs w:val="25"/>
        </w:rPr>
        <w:t xml:space="preserve">По результатам контрольных мероприятий подготовлено и направлено в адрес руководителей органов исполнительной власти, проверяемых учреждений 6 представлений с конкретными предложениями по устранению выявленных нарушений и замечаний. Предложено к устранению и устранено  нарушений на сумму 7181,3 тыс. руб.  Одно должностное лицо по итогам контрольного мероприятия привлечено к дисциплинарной ответственности - объявлен выговор.     По всем мероприятиям главе района и в Прокуратуру Кирилловского района направлялись отчеты.      Все представления КСК находятся на постоянном контроле.  </w:t>
      </w:r>
    </w:p>
    <w:p>
      <w:pPr>
        <w:pStyle w:val="ConsPlusTitle"/>
        <w:numPr>
          <w:ilvl w:val="0"/>
          <w:numId w:val="0"/>
        </w:numPr>
        <w:spacing w:lineRule="auto" w:line="276" w:before="0" w:after="0"/>
        <w:ind w:left="-426" w:right="0" w:firstLine="567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sz w:val="25"/>
          <w:szCs w:val="25"/>
          <w:lang w:eastAsia="ru-RU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cs="Times New Roman" w:ascii="Times New Roman" w:hAnsi="Times New Roman"/>
          <w:b w:val="false"/>
          <w:sz w:val="25"/>
          <w:szCs w:val="25"/>
        </w:rPr>
        <w:t xml:space="preserve"> обеспечен доступ к информации о деятельности контрольно-счетного комитета. Информация  по всем  проведенным контрольно-счетным комитетом в 2018 году контрольным мероприятиям и заключения по осуществленным экспертно-аналитическим мероприятиям размещены на официальном сайте администрации района в информационно-телекоммуникационной сети Интернет в соответствующем разделе.</w:t>
      </w:r>
    </w:p>
    <w:p>
      <w:pPr>
        <w:pStyle w:val="Normal"/>
        <w:spacing w:before="0" w:after="0"/>
        <w:ind w:left="-426" w:firstLine="709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В рамках заключенных Соглашений о передаче полномочий Главам поселений и в представительные органы поселений направлены отчеты об исполнении полномочий и использовании межбюджетных трансфертов.</w:t>
      </w:r>
    </w:p>
    <w:p>
      <w:pPr>
        <w:pStyle w:val="Style24"/>
        <w:spacing w:lineRule="auto" w:line="276" w:before="0" w:after="283"/>
        <w:ind w:left="-567" w:right="-30" w:firstLine="283"/>
        <w:jc w:val="both"/>
        <w:rPr/>
      </w:pPr>
      <w:r>
        <w:rPr/>
      </w:r>
    </w:p>
    <w:p>
      <w:pPr>
        <w:pStyle w:val="Style24"/>
        <w:spacing w:lineRule="auto" w:line="276" w:before="0" w:after="283"/>
        <w:ind w:left="-567" w:right="-30" w:firstLine="283"/>
        <w:jc w:val="both"/>
        <w:rPr/>
      </w:pPr>
      <w:r>
        <w:rPr>
          <w:b/>
          <w:sz w:val="25"/>
          <w:szCs w:val="25"/>
        </w:rPr>
        <w:t>Выводы и основные задачи</w:t>
      </w:r>
    </w:p>
    <w:p>
      <w:pPr>
        <w:pStyle w:val="ListParagraph"/>
        <w:spacing w:before="0" w:after="0"/>
        <w:ind w:left="-426" w:firstLine="709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Задачи, определенные Планом работы на 2018 год, выполнены контрольно-счетным комитетом в полном объеме. </w:t>
      </w:r>
    </w:p>
    <w:p>
      <w:pPr>
        <w:pStyle w:val="Normal"/>
        <w:spacing w:before="0" w:after="200"/>
        <w:ind w:left="-426" w:firstLine="708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Контрольно-счетный комитет в течение года принимал участие в публичных слушаниях по вопросам бюджета муниципального района, в заседаниях Представительного Собрания Кирилловского муниципального района. В рамках проведения организаторской работы в соответствии с Федеральным законом от 07 февраля 2011 года №6-ФЗ в отчетном году продолжена работа по созданию методологической базы. </w:t>
      </w:r>
      <w:r>
        <w:rPr>
          <w:rStyle w:val="FontStyle15"/>
          <w:rFonts w:eastAsia="Arial"/>
          <w:color w:val="000000"/>
          <w:sz w:val="25"/>
          <w:szCs w:val="25"/>
        </w:rPr>
        <w:t>Финансовое обеспечение деятельности контрольно-счетного комитета в 2018 году  позволяло решать возложенные на него  задачи, фактические затраты на содержание составили  704,1 тыс. рублей, в том числе средства от поселений по переданным полномочиям 350,0 тыс. рублей.</w:t>
      </w:r>
      <w:r>
        <w:rPr>
          <w:rFonts w:cs="Times New Roman" w:ascii="Times New Roman" w:hAnsi="Times New Roman"/>
          <w:sz w:val="25"/>
          <w:szCs w:val="25"/>
        </w:rPr>
        <w:t xml:space="preserve">  </w:t>
      </w:r>
    </w:p>
    <w:p>
      <w:pPr>
        <w:pStyle w:val="Normal"/>
        <w:spacing w:before="0" w:after="200"/>
        <w:ind w:left="-426" w:firstLine="708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Председатель контрольно-счетного комитета в отчетном году прошел курсы повышения квалификации. </w:t>
      </w:r>
    </w:p>
    <w:p>
      <w:pPr>
        <w:pStyle w:val="Normal"/>
        <w:spacing w:before="0" w:after="0"/>
        <w:ind w:left="-426" w:firstLine="708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В 2019 году контрольно-счетному комитету предстоит работа по дальнейшему укреплению и развитию единой системы контроля формирования и исполнения районного  бюджета и бюджетов поселений Кирилловского муниципального района, контроля эффективности и результативности бюджетных расходов, управления и распоряжения имуществом, находящимся в муниципальной собственности, совершенствованию правового, методологического и информационного обеспечения финансового контроля. </w:t>
      </w:r>
      <w:r>
        <w:rPr>
          <w:rFonts w:cs="Times New Roman" w:ascii="Times New Roman" w:hAnsi="Times New Roman"/>
          <w:color w:val="000000"/>
          <w:spacing w:val="-5"/>
          <w:sz w:val="25"/>
          <w:szCs w:val="25"/>
        </w:rPr>
        <w:t xml:space="preserve">В 2019 году контрольно-счетный комитет больше внимания уделит вопросам повышения качества проводимых контрольных и экспертно-аналитических мероприятий, </w:t>
      </w:r>
      <w:r>
        <w:rPr>
          <w:rFonts w:eastAsia="Calibri" w:cs="Times New Roman" w:ascii="Times New Roman" w:hAnsi="Times New Roman"/>
          <w:color w:val="000000"/>
          <w:sz w:val="25"/>
          <w:szCs w:val="25"/>
        </w:rPr>
        <w:t>оказанию помощи объектам контроля в устранении недостатков и нарушений</w:t>
      </w:r>
      <w:r>
        <w:rPr>
          <w:rFonts w:cs="Times New Roman" w:ascii="Times New Roman" w:hAnsi="Times New Roman"/>
          <w:color w:val="000000"/>
          <w:spacing w:val="-5"/>
          <w:sz w:val="25"/>
          <w:szCs w:val="25"/>
        </w:rPr>
        <w:t xml:space="preserve"> усилению контроля выполнения представлений и предписаний Контрольно-счетного комитета в части устранения выявленных нарушений и недостатков, а также эффективности принимаемых при этом мер.</w:t>
      </w:r>
    </w:p>
    <w:p>
      <w:pPr>
        <w:pStyle w:val="Normal"/>
        <w:shd w:val="clear" w:color="auto" w:fill="FFFFFF"/>
        <w:spacing w:before="0" w:after="0"/>
        <w:ind w:left="-426" w:firstLine="709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В условиях реализации программно-целевого принципа планирования и исполнения бюджета требуется дальнейшее развитие экспертно-аналитического  направления деятельности, сосредоточение усилий на работе по профилактике нарушений в области бюджетного процесса. Необходимо создание системы непрерывного комплексного анализа и контроля формирования и реализации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территории.</w:t>
      </w:r>
      <w:r>
        <w:rPr>
          <w:rFonts w:cs="Times New Roman" w:ascii="Times New Roman" w:hAnsi="Times New Roman"/>
          <w:color w:val="000000"/>
          <w:spacing w:val="-5"/>
          <w:sz w:val="25"/>
          <w:szCs w:val="25"/>
        </w:rPr>
        <w:t xml:space="preserve"> Действие Федерального закона от 15.04.2013 № 44-ФЗ «О контрактной системе в сфере закупок товаров, работ, услуг для обеспечения государственных и муниципальных нужд» также ставит перед контрольно-счетным  комитетом новые  задачи по аудиту эффективности муниципальных закупок. </w:t>
      </w:r>
    </w:p>
    <w:p>
      <w:pPr>
        <w:pStyle w:val="Normal"/>
        <w:spacing w:before="0" w:after="200"/>
        <w:ind w:left="-426" w:firstLine="708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Задача контрольно-счетного комитета - дать информацию для принятия решений руководителям органов местного самоуправления и руководителям   учреждений для анализа и исследования выявленных нарушений и отклонений и совершенствования бюджетного процесса.</w:t>
      </w:r>
    </w:p>
    <w:p>
      <w:pPr>
        <w:pStyle w:val="Normal"/>
        <w:spacing w:before="0" w:after="200"/>
        <w:ind w:left="-426" w:firstLine="708"/>
        <w:contextualSpacing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Важным направлением в своей работе контрольно-счетный комитет считает не только выявление финансовых нарушений, но и содействие руководителям проверяемых организаций в устранении недостатков и в их предотвращении.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ind w:left="0" w:firstLine="709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Председатель контрольно-счетного комитета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Представительного Собрания Кирилловского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муниципального района</w:t>
        <w:tab/>
        <w:tab/>
        <w:tab/>
        <w:tab/>
        <w:tab/>
        <w:t xml:space="preserve">            </w:t>
        <w:tab/>
        <w:t xml:space="preserve">             Н.А.Новожилова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Cs w:val="false"/>
          <w:i w:val="false"/>
          <w:i w:val="false"/>
          <w:color w:val="000000"/>
          <w:spacing w:val="-5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05 февраля 2018 года</w:t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ыделение"/>
    <w:qFormat/>
    <w:rPr>
      <w:i/>
      <w:iCs/>
    </w:rPr>
  </w:style>
  <w:style w:type="character" w:styleId="FontStyle15" w:customStyle="1">
    <w:name w:val="Font Style15"/>
    <w:qFormat/>
    <w:rPr>
      <w:rFonts w:ascii="Times New Roman" w:hAnsi="Times New Roman" w:cs="Times New Roman"/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SimSun" w:cs="Arial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zh-CN" w:bidi="ar-SA"/>
      <w14:ligatures w14:val="none"/>
    </w:rPr>
  </w:style>
  <w:style w:type="paragraph" w:styleId="Style24" w:customStyle="1">
    <w:name w:val="Содержимое таблицы"/>
    <w:basedOn w:val="ListParagraph"/>
    <w:qFormat/>
    <w:pPr>
      <w:keepNext w:val="false"/>
      <w:keepLines w:val="false"/>
      <w:pageBreakBefore w:val="false"/>
      <w:widowControl/>
      <w:suppressLineNumbers/>
      <w:pBdr/>
      <w:shd w:val="nil" w:color="000000"/>
      <w:spacing w:lineRule="auto" w:line="240" w:beforeAutospacing="0" w:before="0" w:afterAutospacing="0" w:after="0"/>
      <w:ind w:left="0" w:right="0" w:hanging="0"/>
      <w:contextualSpacing w:val="false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ru-RU" w:eastAsia="ar-SA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3</Pages>
  <Words>1499</Words>
  <Characters>11324</Characters>
  <CharactersWithSpaces>13007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2024-01-06T08:57:36Z</dcterms:modified>
  <cp:revision>1</cp:revision>
  <dc:subject/>
  <dc:title/>
</cp:coreProperties>
</file>