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ru-RU"/>
        </w:rPr>
        <w:t xml:space="preserve">ПРОТОКОЛ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1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публичных слушаний по проекту решения Представительного Собрания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“О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год”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b w:val="0"/>
          <w:bCs w:val="0"/>
          <w:sz w:val="24"/>
          <w:szCs w:val="24"/>
          <w:highlight w:val="none"/>
        </w:rPr>
      </w:pPr>
      <w:r>
        <w:rPr>
          <w:b/>
          <w:sz w:val="24"/>
          <w:szCs w:val="24"/>
          <w:lang w:val="ru-RU"/>
        </w:rPr>
        <w:t xml:space="preserve">Дата проведения:</w:t>
      </w:r>
      <w:r>
        <w:rPr>
          <w:b w:val="0"/>
          <w:sz w:val="24"/>
          <w:szCs w:val="24"/>
          <w:lang w:val="ru-RU"/>
        </w:rPr>
        <w:t xml:space="preserve"> 09.04.2026.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8"/>
        <w:jc w:val="both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  <w:highlight w:val="none"/>
          <w:lang w:val="ru-RU"/>
        </w:rPr>
        <w:t xml:space="preserve">Время проведения: </w:t>
      </w:r>
      <w:r>
        <w:rPr>
          <w:b w:val="0"/>
          <w:sz w:val="24"/>
          <w:szCs w:val="24"/>
          <w:highlight w:val="none"/>
          <w:lang w:val="ru-RU"/>
        </w:rPr>
        <w:t xml:space="preserve">с 14.00 - 14.30.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18"/>
        <w:jc w:val="both"/>
        <w:rPr>
          <w:b w:val="0"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Место проведения:</w:t>
      </w:r>
      <w:r>
        <w:rPr>
          <w:b w:val="0"/>
          <w:sz w:val="24"/>
          <w:szCs w:val="24"/>
          <w:lang w:val="ru-RU"/>
        </w:rPr>
        <w:t xml:space="preserve"> зал заседаний администрации округа.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Инициатор проведения:</w:t>
      </w:r>
      <w:r>
        <w:rPr>
          <w:sz w:val="24"/>
          <w:szCs w:val="24"/>
          <w:lang w:val="ru-RU"/>
        </w:rPr>
        <w:t xml:space="preserve"> Глава Кирилловского муниципального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Организатор проведения: </w:t>
      </w:r>
      <w:r>
        <w:rPr>
          <w:sz w:val="24"/>
          <w:szCs w:val="24"/>
          <w:lang w:val="ru-RU"/>
        </w:rPr>
        <w:t xml:space="preserve">администрация Кирилловского муниципального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Председательствующий:</w:t>
      </w:r>
      <w:r>
        <w:rPr>
          <w:sz w:val="24"/>
          <w:szCs w:val="24"/>
          <w:lang w:val="ru-RU"/>
        </w:rPr>
        <w:t xml:space="preserve"> Кузнецов Александр Леонидович, первый заместитель главы Кирилловского муниципального округа (по поручению главы округа).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Присутствует: </w:t>
      </w:r>
      <w:r>
        <w:rPr>
          <w:sz w:val="24"/>
          <w:szCs w:val="24"/>
          <w:lang w:val="ru-RU"/>
        </w:rPr>
        <w:t xml:space="preserve">29 </w:t>
      </w:r>
      <w:r>
        <w:rPr>
          <w:sz w:val="24"/>
          <w:szCs w:val="24"/>
          <w:lang w:val="ru-RU"/>
        </w:rPr>
        <w:t xml:space="preserve">человек</w:t>
      </w:r>
      <w:r>
        <w:rPr>
          <w:sz w:val="24"/>
          <w:szCs w:val="24"/>
          <w:lang w:val="ru-RU"/>
        </w:rPr>
        <w:t xml:space="preserve"> (список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Председательствующий объявил публичные слушания открытыми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ообщил</w:t>
      </w:r>
      <w:r>
        <w:rPr>
          <w:sz w:val="24"/>
          <w:szCs w:val="24"/>
          <w:lang w:val="ru-RU"/>
        </w:rPr>
        <w:t xml:space="preserve">, что постановлением главы Кири</w:t>
      </w:r>
      <w:r>
        <w:rPr>
          <w:sz w:val="24"/>
          <w:szCs w:val="24"/>
          <w:lang w:val="ru-RU"/>
        </w:rPr>
        <w:t xml:space="preserve">лловского муниципального округа от 13 марта 2026 года на 09 апреля 2026 года на 14.00 часов назначены публичные слушания по проекту </w:t>
      </w:r>
      <w:r>
        <w:rPr>
          <w:sz w:val="24"/>
          <w:szCs w:val="24"/>
          <w:lang w:val="ru-RU"/>
        </w:rPr>
        <w:t xml:space="preserve">решения Представительного Собрания “О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год”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Данное по</w:t>
      </w:r>
      <w:r>
        <w:rPr>
          <w:sz w:val="24"/>
          <w:szCs w:val="24"/>
          <w:lang w:val="ru-RU"/>
        </w:rPr>
        <w:t xml:space="preserve">становление опубликовано в приложении к районной газете «Новая жизнь» «Официальный вестник» от 13 марта 2026 года. Также информация о проведении публичных слушаний размещалась в сети интернет на официальных ресурсах органов местного самоуправления округа.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Местом проведения публичных слушаний определен зал заседаний администрации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К у</w:t>
      </w:r>
      <w:r>
        <w:rPr>
          <w:sz w:val="24"/>
          <w:szCs w:val="24"/>
          <w:lang w:val="ru-RU"/>
        </w:rPr>
        <w:t xml:space="preserve">частию в слушаниях приглашены заместители главы округа, руководители структурных подразделений органов местного самоуправления  округа, начальники территориальных управлений, депутаты Представительного Собрания и общественность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На основании постановления главы округа аппаратом администрации округа организован прием и регистрация письменных предложений по проекту решения об исполнении бюджета  Кирилловского муниципального округа за 2025 год.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8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  <w:tab/>
      </w:r>
      <w:r>
        <w:rPr>
          <w:sz w:val="24"/>
          <w:szCs w:val="24"/>
          <w:lang w:val="ru-RU"/>
        </w:rPr>
        <w:t xml:space="preserve">Докладчиком по вопросу о проекте решения Представительного Собрания  назначена </w:t>
      </w:r>
      <w:r>
        <w:rPr>
          <w:sz w:val="24"/>
          <w:szCs w:val="24"/>
          <w:lang w:val="ru-RU"/>
        </w:rPr>
        <w:t xml:space="preserve">Емеличева Анна Евгеньевна, заместитель главы </w:t>
      </w:r>
      <w:r>
        <w:rPr>
          <w:sz w:val="24"/>
          <w:szCs w:val="24"/>
          <w:lang w:val="ru-RU"/>
        </w:rPr>
        <w:t xml:space="preserve">округа, начальник управления финансов администрации округа.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Кузнецов А.Л. п</w:t>
      </w:r>
      <w:r>
        <w:rPr>
          <w:sz w:val="24"/>
          <w:szCs w:val="24"/>
          <w:lang w:val="ru-RU"/>
        </w:rPr>
        <w:t xml:space="preserve">редоставил слово докладчику.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lef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ru-RU"/>
        </w:rPr>
        <w:t xml:space="preserve">Слушали: 1. Об исп</w:t>
      </w:r>
      <w:r>
        <w:rPr>
          <w:b/>
          <w:sz w:val="24"/>
          <w:szCs w:val="24"/>
          <w:lang w:val="ru-RU"/>
        </w:rPr>
        <w:t xml:space="preserve">олнении бюджета округа за 2025</w:t>
      </w:r>
      <w:r>
        <w:rPr>
          <w:b/>
          <w:sz w:val="24"/>
          <w:szCs w:val="24"/>
          <w:lang w:val="ru-RU"/>
        </w:rPr>
        <w:t xml:space="preserve"> год.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18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Докладывает: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u w:val="single"/>
          <w:lang w:val="ru-RU"/>
        </w:rPr>
        <w:t xml:space="preserve">Емеличева А.Е</w:t>
      </w:r>
      <w:r>
        <w:rPr>
          <w:i/>
          <w:sz w:val="24"/>
          <w:szCs w:val="24"/>
          <w:u w:val="single"/>
          <w:lang w:val="ru-RU"/>
        </w:rPr>
        <w:t xml:space="preserve">.</w:t>
      </w:r>
      <w:r>
        <w:rPr>
          <w:i/>
          <w:sz w:val="24"/>
          <w:szCs w:val="24"/>
          <w:lang w:val="ru-RU"/>
        </w:rPr>
        <w:t xml:space="preserve"> –</w:t>
      </w:r>
      <w:r>
        <w:rPr>
          <w:i/>
          <w:sz w:val="24"/>
          <w:szCs w:val="24"/>
          <w:lang w:val="ru-RU"/>
        </w:rPr>
        <w:t xml:space="preserve"> заместитель главы округа, начальник управления финансов администрации округа</w:t>
      </w:r>
      <w:r>
        <w:rPr>
          <w:i/>
          <w:sz w:val="24"/>
          <w:szCs w:val="24"/>
          <w:lang w:val="ru-RU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доходы бюджета округа составили 1680,7 млн.руб.,  расходы - 1618,5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результате исполнения бюджета округа сложился профицит, который составил 62,2 млн.руб.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За 2025 год принятые бюджетные назначения по доходам исполнены в объеме  1680,7 млн.руб., в том числе налоговых и неналоговых доходов поступило 309,1 млн.руб., перевыполнение составило 7,7 млн.</w:t>
      </w:r>
      <w:r>
        <w:rPr>
          <w:rFonts w:ascii="Times New Roman" w:hAnsi="Times New Roman" w:cs="Times New Roman"/>
          <w:sz w:val="24"/>
          <w:szCs w:val="24"/>
        </w:rPr>
        <w:t xml:space="preserve">руб., безвозмездных поступлений 1371,6 млн.руб.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Неисполненными остались назначения в сумме 5,4 млн.руб.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 основном это неисполнение по субсидиям на сумму 4,6 млн.</w:t>
      </w:r>
      <w:r>
        <w:rPr>
          <w:rFonts w:ascii="Times New Roman" w:hAnsi="Times New Roman" w:cs="Times New Roman"/>
          <w:sz w:val="24"/>
          <w:szCs w:val="24"/>
        </w:rPr>
        <w:t xml:space="preserve">руб.: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областного бюджета – 4,3 млн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(оплата произведена за фактически предоставленные услуги и выполненные работы);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на обустройство детских и спортивных площадок – 343,6 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(экономия сложилась по результатам выполненных работ).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общей структуре доходов округа основную долю более 50% занимают межбюджетные трансферты, представленные в виде субсидий, субвенций, иных МБТ. На долю дотации из областного бюджета приходится около 25% всех доходов. Собственные доходы занимают  18%.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по прежнему наибольшую часть - 67% занимает НДФЛ, по данному налогу в бюджет округа получено 186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2025 года новым доходным источником стал туристический налог, который  100% поступает в бюджет округа. В 2025 году по данному доходному источнику поступило примерно 1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2024 годом наблюдается снижение поступлений по налоговым д</w:t>
      </w:r>
      <w:r>
        <w:rPr>
          <w:rFonts w:ascii="Times New Roman" w:hAnsi="Times New Roman" w:cs="Times New Roman"/>
          <w:sz w:val="24"/>
          <w:szCs w:val="24"/>
        </w:rPr>
        <w:t xml:space="preserve">оходам на 50 млн.руб. в связи с уменьшением дополнительных нормативов отчислений в бюджет Кирилловского муниципального округа от налога на доходы физических лиц взамен дотации (части дотации) на выравнивание бюджетной обеспеченности муниципальных округов.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снижение поступления налогов</w:t>
      </w:r>
      <w:r>
        <w:rPr>
          <w:rFonts w:ascii="Times New Roman" w:hAnsi="Times New Roman" w:cs="Times New Roman"/>
          <w:sz w:val="24"/>
          <w:szCs w:val="24"/>
        </w:rPr>
        <w:t xml:space="preserve">ых доходов по сравнению с предыдущим годом, по результатам исполнения к первоначально-принятому бюджету на 2025 год дополнительно получено 17,6 млн.руб., рост наблюдается по всем налогам, за исключением акцизов, по которым снижение составило 1,6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Неналоговых доходов в бюджет округа за 2025 год поступило 33 млн.руб.: основные из них - доходы от продажи имущества и земли 16,7 млн.</w:t>
      </w:r>
      <w:r>
        <w:rPr>
          <w:rFonts w:ascii="Times New Roman" w:hAnsi="Times New Roman" w:cs="Times New Roman"/>
          <w:sz w:val="24"/>
          <w:szCs w:val="24"/>
        </w:rPr>
        <w:t xml:space="preserve">руб., доходы от использования имущества (аренда) в сумме 11, 4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предыдущим годом произошло сокращение поступления неналоговых доходов на 9,8 млн.руб., снижение произошло по доходам от продажи в результате отмены Постановления Правительства РФ № 629 от 09.04.2022, допускающего про</w:t>
      </w:r>
      <w:r>
        <w:rPr>
          <w:rFonts w:ascii="Times New Roman" w:hAnsi="Times New Roman" w:cs="Times New Roman"/>
          <w:sz w:val="24"/>
          <w:szCs w:val="24"/>
        </w:rPr>
        <w:t xml:space="preserve">дажу без проведения торгов земельных участков, предназначенных для ведения личного подсобного хозяйства,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большинство арендаторов вышеуказанных видов разрешенного использования земельных участков произвели выкуп в 2024 году. </w:t>
      </w:r>
      <w:r>
        <w:rPr>
          <w:rFonts w:ascii="Times New Roman" w:hAnsi="Times New Roman" w:cs="Times New Roman"/>
          <w:sz w:val="24"/>
          <w:szCs w:val="24"/>
        </w:rPr>
        <w:t xml:space="preserve">Действие данного постановления прекратилось 31.12.2024 года, что отразилось на фактическом поступлении доходов от продажи земельных участков.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исполнен</w:t>
      </w:r>
      <w:r>
        <w:rPr>
          <w:rFonts w:ascii="Times New Roman" w:hAnsi="Times New Roman" w:cs="Times New Roman"/>
          <w:sz w:val="24"/>
          <w:szCs w:val="24"/>
        </w:rPr>
        <w:t xml:space="preserve">ия бюджета за 2025 год неналоговых доходов к первоначально-принятому бюджету дополнительно получено 17,2 млн.руб., рост сложился по всем доходным источникам, за исключением поступлений от оказания платных услуг, по которым снижение составило 0,3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до муниципальных районов и округов доводятся задания по выполнению ряда показателей, в случае невыполнения которых снижается объем дотаций.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объему сбора налоговых и неналоговых доходов в бюджет муниципального округа исполнено в сумме 309,1 млн.руб. или на 100,2%;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поступлению налога на доходы физических лиц от  легализации «серой» заработной платы в сумме 1,7 млн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руб. или на 102,4%;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плановый показатель налоговой задолженности в бюджет муниципального округа на 01.12.2025 года выполнен в размере 3,2 млн.руб.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снижение составило 26,6%;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объему мобилизации транспортного налога с физических лиц по территории округа исполнено в сумме 16,6 млн.руб. или на 109,9%.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в округе был принят План мероприятий по ро</w:t>
      </w:r>
      <w:r>
        <w:rPr>
          <w:rFonts w:ascii="Times New Roman" w:hAnsi="Times New Roman" w:cs="Times New Roman"/>
          <w:sz w:val="24"/>
          <w:szCs w:val="24"/>
        </w:rPr>
        <w:t xml:space="preserve">сту доходного потенциала округа</w:t>
      </w:r>
      <w:r>
        <w:rPr>
          <w:rFonts w:ascii="Times New Roman" w:hAnsi="Times New Roman" w:cs="Times New Roman"/>
          <w:sz w:val="24"/>
          <w:szCs w:val="24"/>
        </w:rPr>
        <w:t xml:space="preserve">, по которому получено дополнительных доходов по сравнению с первоначально принятым бюджетом более 34 млн.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округа по расходам исполнен в сумме 1618,5 млн.руб. или 99,7% к плановым назначениям.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</w:t>
      </w:r>
      <w:r>
        <w:rPr>
          <w:rFonts w:ascii="Times New Roman" w:hAnsi="Times New Roman" w:cs="Times New Roman"/>
          <w:sz w:val="24"/>
          <w:szCs w:val="24"/>
        </w:rPr>
        <w:t xml:space="preserve"> приоритетными остались отрасли образование 31% и ЖКХ 27%. Далее - общегосударственные вопросы - 9%, национальная экономика 7%, культура - 6%, охрана окружающей среды - 5%, физическая культура - 4%, прочие отрасли - 3%.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«программного» бюджета позволило с</w:t>
      </w:r>
      <w:r>
        <w:rPr>
          <w:rFonts w:ascii="Times New Roman" w:hAnsi="Times New Roman" w:cs="Times New Roman"/>
          <w:sz w:val="24"/>
          <w:szCs w:val="24"/>
        </w:rPr>
        <w:t xml:space="preserve">концентрировать финансовые ресурсы на действительно приоритетных для округа направлениях социально-экономического развития. На реализацию 8 муниципальных программ направлено 1618,0 млн.руб. бюджетных средств или 99,9% от общих расходов бюджета. Наибольша</w:t>
      </w:r>
      <w:r>
        <w:rPr>
          <w:rFonts w:ascii="Times New Roman" w:hAnsi="Times New Roman" w:cs="Times New Roman"/>
          <w:sz w:val="24"/>
          <w:szCs w:val="24"/>
        </w:rPr>
        <w:t xml:space="preserve">я д</w:t>
      </w:r>
      <w:r>
        <w:rPr>
          <w:rFonts w:ascii="Times New Roman" w:hAnsi="Times New Roman" w:cs="Times New Roman"/>
          <w:sz w:val="24"/>
          <w:szCs w:val="24"/>
        </w:rPr>
        <w:t xml:space="preserve">оля - 43,7% программных расходов направлена на муниципальные программы социальной сферы, на программу, включающую расходы жилищно-коммунального, дорожного хозяйств и благоустройства, направлено 34,7%; на другие муниципальные программы приходиться  21,6%.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удельный вес в рас</w:t>
      </w:r>
      <w:r>
        <w:rPr>
          <w:rFonts w:ascii="Times New Roman" w:hAnsi="Times New Roman" w:cs="Times New Roman"/>
          <w:sz w:val="24"/>
          <w:szCs w:val="24"/>
        </w:rPr>
        <w:t xml:space="preserve">ходах бюджета занимают расходы по  отрасли «Образование» 30,7%. Расходы представленной отрасли произведены в рамках муниципальной программы «Развитие образования Кирилловского муниципального округа на 2025-2029 годы» по четырем представленным подразделам: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2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дошкольное образование составили 191,5 млн.руб.,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2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общее образование составили 216,8 млн.руб.,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2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дополнительное образование детей составляет 45,7 млн.руб.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2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молодежную политику и оздоровление детей профинансированы в сумме 8,1 млн.руб.,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2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в сумме 34,8 млн.руб. произведены на другие вопросы в области образования.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капитального характера по отрасли составили 136,5 млн.руб.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(ремонт Талицкого детского сада и детского сада «Аленушка» в г.Кириллове, ремонт Дома </w:t>
      </w:r>
      <w:r>
        <w:rPr>
          <w:rFonts w:ascii="Times New Roman" w:hAnsi="Times New Roman" w:cs="Times New Roman"/>
          <w:sz w:val="24"/>
          <w:szCs w:val="24"/>
        </w:rPr>
        <w:t xml:space="preserve">детского творчества.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Кроме того в учреждениях проводились текущие ремонты, приобретались основные средства).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 по отрасли культура за 2025 год составили 87,7 млн.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разделе отражены расходы на реализацию муниципальной программы «Сохранение и развитие культурного потенциала Кирилловского муниципального округа». </w:t>
      </w:r>
      <w:r>
        <w:rPr>
          <w:rFonts w:ascii="Times New Roman" w:hAnsi="Times New Roman" w:cs="Times New Roman"/>
          <w:sz w:val="24"/>
          <w:szCs w:val="24"/>
        </w:rPr>
        <w:t xml:space="preserve">В составе расходов средства на ф</w:t>
      </w:r>
      <w:r>
        <w:rPr>
          <w:rFonts w:ascii="Times New Roman" w:hAnsi="Times New Roman" w:cs="Times New Roman"/>
          <w:sz w:val="24"/>
          <w:szCs w:val="24"/>
        </w:rPr>
        <w:t xml:space="preserve">ункционирование учреждений культуры «Кирилловская централизованная библиотечная система»  и  «Центр культурного развития» в сумме 54,8 млн.руб., на проведение крупных мероприятий округа в сумме 21,6 млн.руб., а так же  на проведение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Волокославинского</w:t>
      </w:r>
      <w:r>
        <w:rPr>
          <w:rFonts w:ascii="Times New Roman" w:hAnsi="Times New Roman" w:cs="Times New Roman"/>
          <w:sz w:val="24"/>
          <w:szCs w:val="24"/>
        </w:rPr>
        <w:t xml:space="preserve"> СДК и </w:t>
      </w:r>
      <w:r>
        <w:rPr>
          <w:rFonts w:ascii="Times New Roman" w:hAnsi="Times New Roman" w:cs="Times New Roman"/>
          <w:sz w:val="24"/>
          <w:szCs w:val="24"/>
        </w:rPr>
        <w:t xml:space="preserve">Волокославинской</w:t>
      </w:r>
      <w:r>
        <w:rPr>
          <w:rFonts w:ascii="Times New Roman" w:hAnsi="Times New Roman" w:cs="Times New Roman"/>
          <w:sz w:val="24"/>
          <w:szCs w:val="24"/>
        </w:rPr>
        <w:t xml:space="preserve"> библиотеки, на </w:t>
      </w:r>
      <w:r>
        <w:rPr>
          <w:rFonts w:ascii="Times New Roman" w:hAnsi="Times New Roman" w:cs="Times New Roman"/>
          <w:sz w:val="24"/>
          <w:szCs w:val="24"/>
        </w:rPr>
        <w:t xml:space="preserve">текущие ремонты всех учреждений</w:t>
      </w:r>
      <w:r>
        <w:rPr>
          <w:rFonts w:ascii="Times New Roman" w:hAnsi="Times New Roman" w:cs="Times New Roman"/>
          <w:sz w:val="24"/>
          <w:szCs w:val="24"/>
        </w:rPr>
        <w:t xml:space="preserve">, пополнение книжного фонда и других материальных ценностей  на общую сумму 11,3 млн</w:t>
      </w:r>
      <w:r>
        <w:rPr>
          <w:rFonts w:ascii="Times New Roman" w:hAnsi="Times New Roman" w:cs="Times New Roman"/>
          <w:sz w:val="24"/>
          <w:szCs w:val="24"/>
        </w:rPr>
        <w:t xml:space="preserve">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отрасли «Социальная политика» за 2025 год составили 33,4 млн.руб.  Средства направлены на социальную помощь населению.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многодетных  семей получили земельные сертификаты на сумму 6,3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человека, заключили контракт и получили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единовременную</w:t>
      </w:r>
      <w:r>
        <w:rPr>
          <w:rFonts w:ascii="Times New Roman" w:hAnsi="Times New Roman" w:cs="Times New Roman"/>
          <w:sz w:val="24"/>
          <w:szCs w:val="24"/>
        </w:rPr>
        <w:t xml:space="preserve"> выплату-14,5 млн.</w:t>
      </w:r>
      <w:r>
        <w:rPr>
          <w:rFonts w:ascii="Times New Roman" w:hAnsi="Times New Roman" w:cs="Times New Roman"/>
          <w:sz w:val="24"/>
          <w:szCs w:val="24"/>
        </w:rPr>
        <w:t xml:space="preserve">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«Жилищно-коммунальное хозяйство» в целом расходы составили 442,3  млн.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подразделу «Жилищное хозяйство» средства в сумме 18,8 млн.руб. направлены на мероприятия по сносу аварийного жилищного фонда, а так же на ремонт и содержание имеющегося муниципального жилфонда.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подразделу «Коммунальное хозяйство» профинансированы расходы в сумме 201,3 млн.</w:t>
      </w:r>
      <w:r>
        <w:rPr>
          <w:rFonts w:ascii="Times New Roman" w:hAnsi="Times New Roman" w:cs="Times New Roman"/>
          <w:sz w:val="24"/>
          <w:szCs w:val="24"/>
        </w:rPr>
        <w:t xml:space="preserve"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(проведены ремонты коммунальных сетей канализации, водоснабжения и теплоснабжения в г.Кириллове, осуществ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ялись полномочия по организации электро-, тепл</w:t>
      </w:r>
      <w:r>
        <w:rPr>
          <w:rFonts w:ascii="Times New Roman" w:hAnsi="Times New Roman" w:cs="Times New Roman"/>
          <w:sz w:val="24"/>
          <w:szCs w:val="24"/>
        </w:rPr>
        <w:t xml:space="preserve">о-</w:t>
      </w:r>
      <w:r>
        <w:rPr>
          <w:rFonts w:ascii="Times New Roman" w:hAnsi="Times New Roman" w:cs="Times New Roman"/>
          <w:sz w:val="24"/>
          <w:szCs w:val="24"/>
        </w:rPr>
        <w:t xml:space="preserve">, газо- и водоснабжения и мероприятия по энергосбережению, приобретались приборы учета коммунальных услуг в учреждения округа)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подразделу «Благоустройство» расходы составили 221,4 млн.руб</w:t>
      </w:r>
      <w:r>
        <w:rPr>
          <w:rFonts w:ascii="Times New Roman" w:hAnsi="Times New Roman" w:cs="Times New Roman"/>
          <w:sz w:val="24"/>
          <w:szCs w:val="24"/>
        </w:rPr>
        <w:t xml:space="preserve">. (</w:t>
      </w:r>
      <w:r>
        <w:rPr>
          <w:rFonts w:ascii="Times New Roman" w:hAnsi="Times New Roman" w:cs="Times New Roman"/>
          <w:sz w:val="24"/>
          <w:szCs w:val="24"/>
        </w:rPr>
        <w:t xml:space="preserve">проведено благоустройство дворовых и общественных территорий, детских площадок, выполнен 1 этап благоустройства территории по проекту «Берег Дионисия. </w:t>
      </w:r>
      <w:r>
        <w:rPr>
          <w:rFonts w:ascii="Times New Roman" w:hAnsi="Times New Roman" w:cs="Times New Roman"/>
          <w:sz w:val="24"/>
          <w:szCs w:val="24"/>
        </w:rPr>
        <w:t xml:space="preserve">Парк на берегу Ферапонтовского озера», направлены средства на реализацию проектов «Народный бюджет», на организацию уличного освещения, на разработку проектной документации на охранные зоны </w:t>
      </w:r>
      <w:r>
        <w:rPr>
          <w:rFonts w:ascii="Times New Roman" w:hAnsi="Times New Roman" w:cs="Times New Roman"/>
          <w:sz w:val="24"/>
          <w:szCs w:val="24"/>
        </w:rPr>
        <w:t xml:space="preserve">Горицкого</w:t>
      </w:r>
      <w:r>
        <w:rPr>
          <w:rFonts w:ascii="Times New Roman" w:hAnsi="Times New Roman" w:cs="Times New Roman"/>
          <w:sz w:val="24"/>
          <w:szCs w:val="24"/>
        </w:rPr>
        <w:t xml:space="preserve"> и Ферапонтовского монастырей, на прочие расходы по благоустройству округа).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подразделу «Другие вопросы в области ЖКХ» средства направлены на оплату взносов за кап</w:t>
      </w:r>
      <w:r>
        <w:rPr>
          <w:rFonts w:ascii="Times New Roman" w:hAnsi="Times New Roman" w:cs="Times New Roman"/>
          <w:sz w:val="24"/>
          <w:szCs w:val="24"/>
        </w:rPr>
        <w:t xml:space="preserve">итальный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емонт муниципального жилищного фонда в сумме  0,8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поддержку отраслей национальной экономики  составили 243,0 млн.руб.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проведение мероприятий по трудоустройству несовершеннолетних граждан и инвалидов направлены средства в сумме 0,6 млн.руб.;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субсидий на компенсацию части затрат </w:t>
      </w:r>
      <w:r>
        <w:rPr>
          <w:rFonts w:ascii="Times New Roman" w:hAnsi="Times New Roman" w:cs="Times New Roman"/>
          <w:sz w:val="24"/>
          <w:szCs w:val="24"/>
        </w:rPr>
        <w:t xml:space="preserve">сельхозтоваропроизводителей</w:t>
      </w:r>
      <w:r>
        <w:rPr>
          <w:rFonts w:ascii="Times New Roman" w:hAnsi="Times New Roman" w:cs="Times New Roman"/>
          <w:sz w:val="24"/>
          <w:szCs w:val="24"/>
        </w:rPr>
        <w:t xml:space="preserve"> на приобретение комбикормов, отрубей зерновых, фуражного зерна, а также на приобретение сувенирной про</w:t>
      </w:r>
      <w:r>
        <w:rPr>
          <w:rFonts w:ascii="Times New Roman" w:hAnsi="Times New Roman" w:cs="Times New Roman"/>
          <w:sz w:val="24"/>
          <w:szCs w:val="24"/>
        </w:rPr>
        <w:t xml:space="preserve">дукции в рамках мероприятий в сфере сельского хозяйства, на проведение мероприятий по борьбе сорным растением борщевик Сосновского  – 1,3 млн.руб.;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возмещение затрат по социально-значимым маршрутам округа в сумме 4,8 млн.руб.;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0"/>
        </w:numPr>
        <w:ind w:left="0" w:firstLine="426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Дорожного фонда округа составили 202 млн.руб. В общем объеме: расходы на содержание составили 46,8 млн.руб.</w:t>
      </w:r>
      <w:r>
        <w:rPr>
          <w:rFonts w:ascii="Times New Roman" w:hAnsi="Times New Roman" w:cs="Times New Roman"/>
          <w:sz w:val="24"/>
          <w:szCs w:val="24"/>
        </w:rPr>
        <w:t xml:space="preserve">, на ремонт 154,8 млн.руб., прочие расходы 0,4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0"/>
        </w:numPr>
        <w:ind w:left="0" w:firstLine="426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развитие мобильной торговли в малонаселенных и труднодоступных населенных пунктах 1,4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0"/>
        </w:numPr>
        <w:ind w:left="0" w:firstLine="426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проведение кадастровых работ и работ по образованию земельных участков 1,9 млн.руб.,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0"/>
        </w:numPr>
        <w:ind w:left="0" w:firstLine="426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мероприятий по продвижению туристического потенциала округа 30,9 млн.руб.; на </w:t>
      </w:r>
      <w:r>
        <w:rPr>
          <w:rFonts w:ascii="Times New Roman" w:hAnsi="Times New Roman" w:cs="Times New Roman"/>
          <w:sz w:val="24"/>
          <w:szCs w:val="24"/>
        </w:rPr>
        <w:t xml:space="preserve">прочие расходы данной отрасли 0,1 млн.руб.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«Физическая культура и спорт» отражены расходы на развитие спортивной жизни округ</w:t>
      </w:r>
      <w:r>
        <w:rPr>
          <w:rFonts w:ascii="Times New Roman" w:hAnsi="Times New Roman" w:cs="Times New Roman"/>
          <w:sz w:val="24"/>
          <w:szCs w:val="24"/>
        </w:rPr>
        <w:t xml:space="preserve">а (</w:t>
      </w:r>
      <w:r>
        <w:rPr>
          <w:rFonts w:ascii="Times New Roman" w:hAnsi="Times New Roman" w:cs="Times New Roman"/>
          <w:sz w:val="24"/>
          <w:szCs w:val="24"/>
        </w:rPr>
        <w:t xml:space="preserve">кроме расходов на ДЮСШ,  которые отражены по отрасли «Образование»), в 2025 году они составили  63,1 млн.руб., в том числе на функционирование АУ «</w:t>
      </w:r>
      <w:r>
        <w:rPr>
          <w:rFonts w:ascii="Times New Roman" w:hAnsi="Times New Roman" w:cs="Times New Roman"/>
          <w:sz w:val="24"/>
          <w:szCs w:val="24"/>
        </w:rPr>
        <w:t xml:space="preserve">Центр физической культуры и спорта» и проведение спортивно-массовых мероприятий  с населением – 15,4 млн.руб. Бюджетные инвестиции отрасли составили  47,7 млн.руб., средства направлены на укрепление материально-технической базы учреждения и обустройство </w:t>
      </w:r>
      <w:r>
        <w:rPr>
          <w:rFonts w:ascii="Times New Roman" w:hAnsi="Times New Roman" w:cs="Times New Roman"/>
          <w:sz w:val="24"/>
          <w:szCs w:val="24"/>
        </w:rPr>
        <w:t xml:space="preserve">лыжероллерной</w:t>
      </w:r>
      <w:r>
        <w:rPr>
          <w:rFonts w:ascii="Times New Roman" w:hAnsi="Times New Roman" w:cs="Times New Roman"/>
          <w:sz w:val="24"/>
          <w:szCs w:val="24"/>
        </w:rPr>
        <w:t xml:space="preserve"> трассы.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обеспечение руководства и управления произведены по отрасли «Общегосударственные вопросы» в сумме 150,0 млн.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. (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функционирование и обеспечение деятельности органов власти, ЦБУ, МФЦ, содержание имущества казны, другие общегосударственные вопросы).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отрасли «Национальная безопасность и правоохранительная деятельность» расходы составили 14,5 млн.руб., это средства на функционирование единой дежурной диспетчерской службы округа, противопожарные мероприяти</w:t>
      </w:r>
      <w:r>
        <w:rPr>
          <w:rFonts w:ascii="Times New Roman" w:hAnsi="Times New Roman" w:cs="Times New Roman"/>
          <w:sz w:val="24"/>
          <w:szCs w:val="24"/>
        </w:rPr>
        <w:t xml:space="preserve">я (</w:t>
      </w:r>
      <w:r>
        <w:rPr>
          <w:rFonts w:ascii="Times New Roman" w:hAnsi="Times New Roman" w:cs="Times New Roman"/>
          <w:sz w:val="24"/>
          <w:szCs w:val="24"/>
        </w:rPr>
        <w:t xml:space="preserve">в том числе обустройство противопожарных водоемов), профилактику правонарушений, антитеррористические мероприятия.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«Средства массовой информации» профинансированы на выполнение муниципального задания по публикации информационных материалов в газете и на проведение ремонта здания крыши  в сумме 2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в бюджете расходы по разделу «Охрана окружающей среды» составили 82,8 млн.руб., в том числе на содержание скотомо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ильников 0,1 млн.руб., на рекультивацию земельных участков, занятых несанкционированными свалками 72,3 млн.руб., на обустройство контейнерных площадок 8,9 млн.руб., проведение мероприятий по ликвидации навалов мусора и приобретение контейнеров 1,5 млн.руб.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капитального характера в 2025 году составили 819,4 млн.руб., 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 на развитие округа направлено 50,6%  общего объема расходов. </w:t>
      </w:r>
      <w:r>
        <w:rPr>
          <w:rFonts w:ascii="Times New Roman" w:hAnsi="Times New Roman" w:cs="Times New Roman"/>
          <w:sz w:val="24"/>
          <w:szCs w:val="24"/>
        </w:rPr>
        <w:t xml:space="preserve">В округе капитально отремонтированы </w:t>
      </w:r>
      <w:r>
        <w:rPr>
          <w:rFonts w:ascii="Times New Roman" w:hAnsi="Times New Roman" w:cs="Times New Roman"/>
          <w:sz w:val="24"/>
          <w:szCs w:val="24"/>
        </w:rPr>
        <w:t xml:space="preserve">Талицкий</w:t>
      </w:r>
      <w:r>
        <w:rPr>
          <w:rFonts w:ascii="Times New Roman" w:hAnsi="Times New Roman" w:cs="Times New Roman"/>
          <w:sz w:val="24"/>
          <w:szCs w:val="24"/>
        </w:rPr>
        <w:t xml:space="preserve"> детский сад и детский сад «Аленушка» в г.Кириллове, Дом детского творчества и </w:t>
      </w:r>
      <w:r>
        <w:rPr>
          <w:rFonts w:ascii="Times New Roman" w:hAnsi="Times New Roman" w:cs="Times New Roman"/>
          <w:sz w:val="24"/>
          <w:szCs w:val="24"/>
        </w:rPr>
        <w:t xml:space="preserve">Волокославинский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сельский дом культуры, проведены ремонты коммунальных сетей канализации, водоснабжения и теплоснабжения в г. Кириллове, обновлен фасад здания “Центра физической культуры и спорта”, выполнен 1 этап благоустройства территории по проекту «Берег Дионисия.</w:t>
      </w:r>
      <w:r>
        <w:rPr>
          <w:rFonts w:ascii="Times New Roman" w:hAnsi="Times New Roman" w:cs="Times New Roman"/>
          <w:sz w:val="24"/>
          <w:szCs w:val="24"/>
        </w:rPr>
        <w:t xml:space="preserve"> Парк на берегу Ферапонтовского озера», обустроена </w:t>
      </w:r>
      <w:r>
        <w:rPr>
          <w:rFonts w:ascii="Times New Roman" w:hAnsi="Times New Roman" w:cs="Times New Roman"/>
          <w:sz w:val="24"/>
          <w:szCs w:val="24"/>
        </w:rPr>
        <w:t xml:space="preserve">лыжероллерная</w:t>
      </w:r>
      <w:r>
        <w:rPr>
          <w:rFonts w:ascii="Times New Roman" w:hAnsi="Times New Roman" w:cs="Times New Roman"/>
          <w:sz w:val="24"/>
          <w:szCs w:val="24"/>
        </w:rPr>
        <w:t xml:space="preserve"> трасса, отремонтировано 13,7 км. дорог,  </w:t>
      </w:r>
      <w:r>
        <w:rPr>
          <w:rFonts w:ascii="Times New Roman" w:hAnsi="Times New Roman" w:cs="Times New Roman"/>
          <w:sz w:val="24"/>
          <w:szCs w:val="24"/>
        </w:rPr>
        <w:t xml:space="preserve">рекультивирована</w:t>
      </w:r>
      <w:r>
        <w:rPr>
          <w:rFonts w:ascii="Times New Roman" w:hAnsi="Times New Roman" w:cs="Times New Roman"/>
          <w:sz w:val="24"/>
          <w:szCs w:val="24"/>
        </w:rPr>
        <w:t xml:space="preserve"> свалка в д.</w:t>
      </w:r>
      <w:r>
        <w:rPr>
          <w:rFonts w:ascii="Times New Roman" w:hAnsi="Times New Roman" w:cs="Times New Roman"/>
          <w:sz w:val="24"/>
          <w:szCs w:val="24"/>
        </w:rPr>
        <w:t xml:space="preserve">Закозье</w:t>
      </w:r>
      <w:r>
        <w:rPr>
          <w:rFonts w:ascii="Times New Roman" w:hAnsi="Times New Roman" w:cs="Times New Roman"/>
          <w:sz w:val="24"/>
          <w:szCs w:val="24"/>
        </w:rPr>
        <w:t xml:space="preserve">, приобретены 3 единицы коммунальной и  дорожно-строительной техники, в бюджетные учреждения приобретались мебель, оборудование,  проводились другие работы.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2025 год на территории округа реализовано 37 проектов «Народный бюджет» на общую сумму 14,1 млн.руб., из </w:t>
      </w:r>
      <w:r>
        <w:rPr>
          <w:rFonts w:ascii="Times New Roman" w:hAnsi="Times New Roman" w:cs="Times New Roman"/>
          <w:sz w:val="24"/>
          <w:szCs w:val="24"/>
        </w:rPr>
        <w:t xml:space="preserve">них почти 10 млн.руб. это средства, привлеченные из областного бюджета и 2,0 млн.руб. от физических и юридических лиц. Реализация данного направления направлена на решение актуальных вопросов, инициированных жителями сельских территорий и г.Кириллова.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долг у округа отсутствует. Просроченной кредиторской задолженности нет.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18"/>
        <w:jc w:val="both"/>
        <w:rPr>
          <w:b/>
          <w:bCs/>
          <w:sz w:val="24"/>
          <w:szCs w:val="24"/>
          <w:highlight w:val="none"/>
        </w:rPr>
      </w:pPr>
      <w:r>
        <w:rPr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  <w:t xml:space="preserve">Выступили: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84"/>
        <w:ind w:left="0" w:firstLine="0"/>
        <w:jc w:val="both"/>
        <w:spacing w:after="0"/>
        <w:rPr>
          <w:sz w:val="24"/>
          <w:szCs w:val="24"/>
        </w:rPr>
      </w:pPr>
      <w:r>
        <w:rPr>
          <w:sz w:val="24"/>
          <w:szCs w:val="24"/>
          <w:u w:val="single"/>
          <w:lang w:val="ru-RU"/>
        </w:rPr>
        <w:t xml:space="preserve">Петрова Н.А.</w:t>
      </w:r>
      <w:r>
        <w:rPr>
          <w:sz w:val="24"/>
          <w:szCs w:val="24"/>
          <w:lang w:val="ru-RU"/>
        </w:rPr>
        <w:t xml:space="preserve">, председатель контрольно-счетного комитета Кирилловского муниципального округа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Контрольно-счетный комитет </w:t>
      </w:r>
      <w:r>
        <w:rPr>
          <w:sz w:val="24"/>
          <w:szCs w:val="24"/>
          <w:lang w:val="ru-RU"/>
        </w:rPr>
        <w:t xml:space="preserve">округа </w:t>
      </w:r>
      <w:r>
        <w:rPr>
          <w:sz w:val="24"/>
          <w:szCs w:val="24"/>
          <w:lang w:val="ru-RU"/>
        </w:rPr>
        <w:t xml:space="preserve">в соответствии с положениями</w:t>
      </w:r>
      <w:r>
        <w:rPr>
          <w:sz w:val="24"/>
          <w:szCs w:val="24"/>
          <w:lang w:val="ru-RU"/>
        </w:rPr>
        <w:t xml:space="preserve"> бюджетного законодательства в установленные сроки провел внешнюю проверку отчета об исполнении бюджета округа за 2025 год. При подготовке заключения на годовой отчет использованы результаты внешней проверки бюджетной отчетности всех главных администраторо</w:t>
      </w:r>
      <w:r>
        <w:rPr>
          <w:sz w:val="24"/>
          <w:szCs w:val="24"/>
          <w:lang w:val="ru-RU"/>
        </w:rPr>
        <w:t xml:space="preserve">в</w:t>
      </w:r>
      <w:r>
        <w:rPr>
          <w:sz w:val="24"/>
          <w:szCs w:val="24"/>
          <w:lang w:val="ru-RU"/>
        </w:rPr>
        <w:t xml:space="preserve"> средств бюджета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i w:val="0"/>
          <w:iCs w:val="0"/>
          <w:sz w:val="24"/>
          <w:szCs w:val="24"/>
          <w:highlight w:val="none"/>
        </w:rPr>
      </w:pPr>
      <w:r>
        <w:rPr>
          <w:i w:val="0"/>
          <w:iCs w:val="0"/>
          <w:sz w:val="24"/>
          <w:szCs w:val="24"/>
          <w:lang w:val="ru-RU"/>
        </w:rPr>
      </w:r>
      <w:r>
        <w:rPr>
          <w:i w:val="0"/>
          <w:iCs w:val="0"/>
          <w:sz w:val="24"/>
          <w:szCs w:val="24"/>
          <w:lang w:val="ru-RU"/>
        </w:rPr>
        <w:t xml:space="preserve">О</w:t>
      </w:r>
      <w:r>
        <w:rPr>
          <w:i w:val="0"/>
          <w:iCs w:val="0"/>
          <w:sz w:val="24"/>
          <w:szCs w:val="24"/>
          <w:lang w:val="ru-RU"/>
        </w:rPr>
        <w:t xml:space="preserve">сновные параметры бюджета округа за 2025 год выполнены в следующих значениях:</w:t>
      </w:r>
      <w:r>
        <w:rPr>
          <w:i w:val="0"/>
          <w:iCs w:val="0"/>
          <w:sz w:val="24"/>
          <w:szCs w:val="24"/>
          <w:highlight w:val="none"/>
        </w:rPr>
      </w:r>
      <w:r>
        <w:rPr>
          <w:i w:val="0"/>
          <w:i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8"/>
        </w:numPr>
        <w:ind w:left="709" w:hanging="357"/>
        <w:jc w:val="both"/>
        <w:keepLines/>
        <w:spacing w:after="200" w:line="240" w:lineRule="auto"/>
        <w:rPr>
          <w:sz w:val="24"/>
        </w:rPr>
      </w:pPr>
      <w:r>
        <w:rPr>
          <w:sz w:val="24"/>
          <w:szCs w:val="24"/>
        </w:rPr>
        <w:t xml:space="preserve">поступило доходов в объеме 1680747,4 тыс.рублей или 100,1 % от утвержденных назначений в сумме 1678441,2 тыс.рублей;</w:t>
      </w:r>
      <w:r>
        <w:rPr>
          <w:sz w:val="24"/>
        </w:rPr>
      </w:r>
      <w:r>
        <w:rPr>
          <w:sz w:val="24"/>
        </w:rPr>
      </w:r>
    </w:p>
    <w:p>
      <w:pPr>
        <w:pStyle w:val="911"/>
        <w:numPr>
          <w:ilvl w:val="0"/>
          <w:numId w:val="18"/>
        </w:numPr>
        <w:ind w:left="709" w:hanging="357"/>
        <w:jc w:val="both"/>
        <w:keepLines/>
        <w:spacing w:after="200" w:line="240" w:lineRule="auto"/>
        <w:rPr>
          <w:sz w:val="24"/>
        </w:rPr>
      </w:pPr>
      <w:r>
        <w:rPr>
          <w:sz w:val="24"/>
          <w:szCs w:val="24"/>
        </w:rPr>
        <w:t xml:space="preserve">осуществлены расходы в объеме 1618502,7 тыс. рублей или 99,7 % от утвержденных назначений в сумме 1623819,2 тыс.рублей;</w:t>
      </w:r>
      <w:r>
        <w:rPr>
          <w:sz w:val="24"/>
        </w:rPr>
      </w:r>
      <w:r>
        <w:rPr>
          <w:sz w:val="24"/>
        </w:rPr>
      </w:r>
    </w:p>
    <w:p>
      <w:pPr>
        <w:pStyle w:val="911"/>
        <w:numPr>
          <w:ilvl w:val="0"/>
          <w:numId w:val="18"/>
        </w:numPr>
        <w:ind w:left="709" w:hanging="357"/>
        <w:jc w:val="both"/>
        <w:keepLines/>
        <w:spacing w:line="240" w:lineRule="auto"/>
        <w:rPr>
          <w:sz w:val="24"/>
        </w:rPr>
      </w:pPr>
      <w:r>
        <w:rPr>
          <w:sz w:val="24"/>
          <w:szCs w:val="24"/>
        </w:rPr>
        <w:t xml:space="preserve">профицит  бюджета составил 62244,7 тыс.рублей.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исполнения  бюджета плановые назначения по  доходам бюджета увеличились на 266056,7 тыс.рублей  или на 18,8 %, по расходам увеличились на 198398,6 тыс.рублей или на   13,9 %.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Налоговые и неналоговые доходы исполнены в сумме 309104,4 тыс.рублей или на 102,6 % к уточненным  плановым назначениям в сумме 301371,0 тыс.рублей. Удельный вес налоговых и неналоговых доходов в доходах  бюджета округа  в 2025 году составил 18,4 %.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безвозмездных поступлений  составило 1371643,0 тыс. рублей или 99,6 % от уточненных показателей. Фактическая доля исполненных безвозмездных поступлений в доходах округа бюджета в 2025 году составила 81,6 %.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 округа  по расходам исполнен в сумме 1618502,7 тыс.рублей или на 99,7 % к уточненному годовому плану. К уровню 2024 года расходы  бюджета округа увеличились  на 31193,1 тыс.рублей или на 2,0 %.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общем объеме расходов  бюджета округа  удельный  вес  расходов на реализацию муниципальных программ составил 99,9 %, в 2024 году – 99,9 %.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социальную сферу в 2025  году составили 682093,3 тыс.рублей или 42,1 % от общего объема расходов  бюджета округа. В 2024 году  расходы составили 822642,6 тыс.рублей или 51,8 %.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По состоянию на 01.01.2026 округ не имеет муниципального долга.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Бюджетная отчетность за 2025 год главными администраторами средств бюджета округа составлена и представлена в установленный  срок,  в объеме и по содержанию – в соответствии с Инструкцией № 191н.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Контрольно-счетный комитет округа подтверждает, что отчет об исполнении бюджета округа и бюджетная отчетность главных администраторов бюджетных средств за 2025 год соответствуют требованиям нормативных правовых актов по их составлению.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Представленный проект решения рекомендуется к рассмотрению Представительным Собранием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u w:val="single"/>
          <w:lang w:val="ru-RU"/>
        </w:rPr>
      </w:r>
      <w:r>
        <w:rPr>
          <w:sz w:val="24"/>
          <w:szCs w:val="24"/>
          <w:highlight w:val="none"/>
          <w:u w:val="single"/>
          <w:lang w:val="ru-RU"/>
        </w:rPr>
        <w:t xml:space="preserve">Кузнецов А.Л.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сообщил</w:t>
      </w:r>
      <w:r>
        <w:rPr>
          <w:sz w:val="24"/>
          <w:szCs w:val="24"/>
          <w:lang w:val="ru-RU"/>
        </w:rPr>
        <w:t xml:space="preserve">, что письменных замечаний и предложений по проекту решения не поступало</w:t>
      </w:r>
      <w:r>
        <w:rPr>
          <w:sz w:val="24"/>
          <w:szCs w:val="24"/>
          <w:lang w:val="ru-RU"/>
        </w:rPr>
        <w:t xml:space="preserve">. П</w:t>
      </w:r>
      <w:r>
        <w:rPr>
          <w:sz w:val="24"/>
          <w:szCs w:val="24"/>
          <w:lang w:val="ru-RU"/>
        </w:rPr>
        <w:t xml:space="preserve">редложил рекомендовать предложенный проект решения Представительного Собрания Кирилловского муниципального округа «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 xml:space="preserve">» рассмотреть на заседа</w:t>
      </w:r>
      <w:r>
        <w:rPr>
          <w:sz w:val="24"/>
          <w:szCs w:val="24"/>
          <w:lang w:val="ru-RU"/>
        </w:rPr>
        <w:t xml:space="preserve">нии Представительного Собрания 09</w:t>
      </w:r>
      <w:r>
        <w:rPr>
          <w:sz w:val="24"/>
          <w:szCs w:val="24"/>
          <w:lang w:val="ru-RU"/>
        </w:rPr>
        <w:t xml:space="preserve"> апреля 2026</w:t>
      </w:r>
      <w:r>
        <w:rPr>
          <w:sz w:val="24"/>
          <w:szCs w:val="24"/>
          <w:lang w:val="ru-RU"/>
        </w:rPr>
        <w:t xml:space="preserve"> года и утвердить в предложенном виде.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914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ru-RU"/>
        </w:rPr>
      </w:r>
      <w:r>
        <w:rPr>
          <w:b w:val="0"/>
          <w:i w:val="0"/>
          <w:sz w:val="24"/>
          <w:szCs w:val="24"/>
          <w:u w:val="single"/>
          <w:lang w:val="ru-RU"/>
        </w:rPr>
        <w:t xml:space="preserve">Думина Е.Н.</w:t>
      </w:r>
      <w:r>
        <w:rPr>
          <w:b w:val="0"/>
          <w:i w:val="0"/>
          <w:sz w:val="24"/>
          <w:szCs w:val="24"/>
          <w:lang w:val="ru-RU"/>
        </w:rPr>
        <w:t xml:space="preserve"> предложила принять к сведению отчет об исполнении бюджета  округа за 2025 год.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 xml:space="preserve">Мнение участников слушаний: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918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 xml:space="preserve">1. Информацию о проекте </w:t>
      </w:r>
      <w:r>
        <w:rPr>
          <w:i w:val="0"/>
          <w:sz w:val="24"/>
          <w:szCs w:val="24"/>
          <w:lang w:val="ru-RU"/>
        </w:rPr>
        <w:t xml:space="preserve">решения Представительного Собрания Кирилловского муниципального округа «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</w:t>
      </w:r>
      <w:r>
        <w:rPr>
          <w:i w:val="0"/>
          <w:sz w:val="24"/>
          <w:szCs w:val="24"/>
          <w:lang w:val="ru-RU"/>
        </w:rPr>
        <w:t xml:space="preserve">» принять к сведению.</w:t>
      </w:r>
      <w:r>
        <w:rPr>
          <w:i w:val="0"/>
          <w:sz w:val="24"/>
          <w:szCs w:val="24"/>
        </w:rPr>
      </w:r>
      <w:r>
        <w:rPr>
          <w:i w:val="0"/>
          <w:sz w:val="24"/>
          <w:szCs w:val="24"/>
        </w:rPr>
      </w:r>
    </w:p>
    <w:p>
      <w:pPr>
        <w:pStyle w:val="918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 xml:space="preserve">2. Рекомендовать </w:t>
      </w:r>
      <w:r>
        <w:rPr>
          <w:i w:val="0"/>
          <w:sz w:val="24"/>
          <w:szCs w:val="24"/>
          <w:lang w:val="ru-RU"/>
        </w:rPr>
        <w:t xml:space="preserve">Представительному Собранию Кирилловского муниципального округа на заседании 09 апреля 2026 года рассмотреть проект решения «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</w:t>
      </w:r>
      <w:r>
        <w:rPr>
          <w:i w:val="0"/>
          <w:sz w:val="24"/>
          <w:szCs w:val="24"/>
          <w:lang w:val="ru-RU"/>
        </w:rPr>
        <w:t xml:space="preserve">»</w:t>
      </w:r>
      <w:r>
        <w:rPr>
          <w:i w:val="0"/>
          <w:sz w:val="24"/>
          <w:szCs w:val="24"/>
          <w:lang w:val="ru-RU"/>
        </w:rPr>
        <w:t xml:space="preserve">, опубликованный в Официальном вестнике </w:t>
      </w:r>
      <w:r>
        <w:rPr>
          <w:i w:val="0"/>
          <w:sz w:val="24"/>
          <w:szCs w:val="24"/>
          <w:lang w:val="ru-RU"/>
        </w:rPr>
        <w:t xml:space="preserve">- приложении к районной газете «Новая жизнь»</w:t>
      </w:r>
      <w:r>
        <w:rPr>
          <w:i w:val="0"/>
          <w:sz w:val="24"/>
          <w:szCs w:val="24"/>
          <w:lang w:val="ru-RU"/>
        </w:rPr>
        <w:t xml:space="preserve"> от 13 марта 2026 года № 5, и утвердить в предложенном виде.</w:t>
      </w:r>
      <w:r>
        <w:rPr>
          <w:i w:val="0"/>
          <w:sz w:val="24"/>
          <w:szCs w:val="24"/>
        </w:rPr>
      </w:r>
      <w:r>
        <w:rPr>
          <w:i w:val="0"/>
          <w:sz w:val="24"/>
          <w:szCs w:val="24"/>
        </w:rPr>
      </w:r>
    </w:p>
    <w:p>
      <w:pPr>
        <w:pStyle w:val="914"/>
        <w:ind w:left="0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 xml:space="preserve">Голосовали «за» – единогласно.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918"/>
        <w:jc w:val="both"/>
        <w:rPr>
          <w:i w:val="0"/>
          <w:sz w:val="24"/>
          <w:szCs w:val="24"/>
        </w:rPr>
      </w:pPr>
      <w:r>
        <w:rPr>
          <w:b/>
          <w:i w:val="0"/>
          <w:sz w:val="24"/>
          <w:szCs w:val="24"/>
          <w:lang w:val="ru-RU"/>
        </w:rPr>
        <w:t xml:space="preserve">Решили:</w:t>
      </w:r>
      <w:r>
        <w:rPr>
          <w:i w:val="0"/>
          <w:sz w:val="24"/>
          <w:szCs w:val="24"/>
          <w:lang w:val="ru-RU"/>
        </w:rPr>
        <w:t xml:space="preserve"> Одобрить проект решения «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  <w:lang w:val="ru-RU"/>
        </w:rPr>
        <w:t xml:space="preserve">б исп</w:t>
      </w:r>
      <w:r>
        <w:rPr>
          <w:sz w:val="24"/>
          <w:szCs w:val="24"/>
          <w:lang w:val="ru-RU"/>
        </w:rPr>
        <w:t xml:space="preserve">олнении  бюджета Кирилловского муниципального округа за 2025</w:t>
      </w:r>
      <w:r>
        <w:rPr>
          <w:sz w:val="24"/>
          <w:szCs w:val="24"/>
          <w:lang w:val="ru-RU"/>
        </w:rPr>
        <w:t xml:space="preserve"> год</w:t>
      </w:r>
      <w:r>
        <w:rPr>
          <w:i w:val="0"/>
          <w:sz w:val="24"/>
          <w:szCs w:val="24"/>
          <w:lang w:val="ru-RU"/>
        </w:rPr>
        <w:t xml:space="preserve">», внести его на рассмотрение и утверждение в Представительное Собрание Кирилловского муниципального округа.</w:t>
      </w:r>
      <w:r>
        <w:rPr>
          <w:i w:val="0"/>
          <w:sz w:val="24"/>
          <w:szCs w:val="24"/>
        </w:rPr>
      </w:r>
      <w:r>
        <w:rPr>
          <w:i w:val="0"/>
          <w:sz w:val="24"/>
          <w:szCs w:val="24"/>
        </w:rPr>
      </w:r>
    </w:p>
    <w:p>
      <w:pPr>
        <w:pStyle w:val="91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ab/>
      </w:r>
      <w:r>
        <w:rPr>
          <w:b w:val="0"/>
          <w:bCs w:val="0"/>
          <w:sz w:val="24"/>
          <w:szCs w:val="24"/>
          <w:lang w:val="ru-RU"/>
        </w:rPr>
        <w:t xml:space="preserve">Кузнецов А.Л.</w:t>
      </w:r>
      <w:r>
        <w:rPr>
          <w:b w:val="0"/>
          <w:sz w:val="24"/>
          <w:szCs w:val="24"/>
          <w:lang w:val="ru-RU"/>
        </w:rPr>
        <w:t xml:space="preserve"> сообщил, что публичные слушания проведены в соответствии с действующим законодательством РФ и нормативными правовыми актами Кирилловского муниципального округа и считаются состоявшимися.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  <w:t xml:space="preserve">Первый заместитель главы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Кирилловского </w:t>
      </w:r>
      <w:r>
        <w:rPr>
          <w:sz w:val="24"/>
          <w:szCs w:val="24"/>
          <w:lang w:val="ru-RU"/>
        </w:rPr>
        <w:t xml:space="preserve">муниципального округа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ab/>
      </w:r>
      <w:r>
        <w:rPr>
          <w:sz w:val="24"/>
          <w:szCs w:val="24"/>
          <w:lang w:val="ru-RU"/>
        </w:rPr>
        <w:t xml:space="preserve">А.Л.Кузнецов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Делопроизводитель аппарата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  <w:t xml:space="preserve">администрации округа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Н.П.Соловьева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2240" w:h="15840" w:orient="portrait"/>
      <w:pgMar w:top="992" w:right="1043" w:bottom="816" w:left="1134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91"/>
    <w:link w:val="897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91"/>
    <w:link w:val="923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891"/>
    <w:link w:val="889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891"/>
    <w:link w:val="92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891"/>
    <w:link w:val="89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3"/>
    <w:next w:val="87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9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3"/>
    <w:next w:val="87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91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3"/>
    <w:next w:val="87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91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3"/>
    <w:next w:val="87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91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91"/>
    <w:link w:val="919"/>
    <w:uiPriority w:val="10"/>
    <w:rPr>
      <w:sz w:val="48"/>
      <w:szCs w:val="48"/>
    </w:rPr>
  </w:style>
  <w:style w:type="character" w:styleId="727">
    <w:name w:val="Subtitle Char"/>
    <w:basedOn w:val="891"/>
    <w:link w:val="917"/>
    <w:uiPriority w:val="11"/>
    <w:rPr>
      <w:sz w:val="24"/>
      <w:szCs w:val="24"/>
    </w:rPr>
  </w:style>
  <w:style w:type="paragraph" w:styleId="728">
    <w:name w:val="Quote"/>
    <w:basedOn w:val="873"/>
    <w:next w:val="873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3"/>
    <w:next w:val="873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73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91"/>
    <w:link w:val="732"/>
    <w:uiPriority w:val="99"/>
  </w:style>
  <w:style w:type="paragraph" w:styleId="734">
    <w:name w:val="Footer"/>
    <w:basedOn w:val="873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91"/>
    <w:link w:val="734"/>
    <w:uiPriority w:val="99"/>
  </w:style>
  <w:style w:type="paragraph" w:styleId="736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9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73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91"/>
    <w:uiPriority w:val="99"/>
    <w:unhideWhenUsed/>
    <w:rPr>
      <w:vertAlign w:val="superscript"/>
    </w:rPr>
  </w:style>
  <w:style w:type="paragraph" w:styleId="867">
    <w:name w:val="endnote text"/>
    <w:basedOn w:val="873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91"/>
    <w:uiPriority w:val="99"/>
    <w:semiHidden/>
    <w:unhideWhenUsed/>
    <w:rPr>
      <w:vertAlign w:val="superscript"/>
    </w:rPr>
  </w:style>
  <w:style w:type="paragraph" w:styleId="870">
    <w:name w:val="TOC Heading"/>
    <w:uiPriority w:val="39"/>
    <w:unhideWhenUsed/>
  </w:style>
  <w:style w:type="paragraph" w:styleId="871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2" w:default="1">
    <w:name w:val="Normal"/>
    <w:link w:val="873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873" w:default="1">
    <w:name w:val="Normal"/>
    <w:link w:val="872"/>
    <w:rPr>
      <w:rFonts w:ascii="Times New Roman" w:hAnsi="Times New Roman"/>
      <w:sz w:val="24"/>
    </w:rPr>
  </w:style>
  <w:style w:type="paragraph" w:styleId="874">
    <w:name w:val="toc 2"/>
    <w:next w:val="872"/>
    <w:link w:val="87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75">
    <w:name w:val="toc 2"/>
    <w:link w:val="874"/>
    <w:rPr>
      <w:rFonts w:ascii="XO Thames" w:hAnsi="XO Thames"/>
      <w:sz w:val="28"/>
    </w:rPr>
  </w:style>
  <w:style w:type="paragraph" w:styleId="876">
    <w:name w:val="toc 4"/>
    <w:next w:val="872"/>
    <w:link w:val="877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77">
    <w:name w:val="toc 4"/>
    <w:link w:val="876"/>
    <w:rPr>
      <w:rFonts w:ascii="XO Thames" w:hAnsi="XO Thames"/>
      <w:sz w:val="28"/>
    </w:rPr>
  </w:style>
  <w:style w:type="paragraph" w:styleId="878">
    <w:name w:val="toc 6"/>
    <w:next w:val="872"/>
    <w:link w:val="879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79">
    <w:name w:val="toc 6"/>
    <w:link w:val="878"/>
    <w:rPr>
      <w:rFonts w:ascii="XO Thames" w:hAnsi="XO Thames"/>
      <w:sz w:val="28"/>
    </w:rPr>
  </w:style>
  <w:style w:type="paragraph" w:styleId="880">
    <w:name w:val="toc 7"/>
    <w:next w:val="872"/>
    <w:link w:val="88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81">
    <w:name w:val="toc 7"/>
    <w:link w:val="880"/>
    <w:rPr>
      <w:rFonts w:ascii="XO Thames" w:hAnsi="XO Thames"/>
      <w:sz w:val="28"/>
    </w:rPr>
  </w:style>
  <w:style w:type="paragraph" w:styleId="882">
    <w:name w:val="ConsPlusNormal"/>
    <w:link w:val="883"/>
    <w:pPr>
      <w:ind w:left="0"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883">
    <w:name w:val="ConsPlusNormal"/>
    <w:link w:val="882"/>
    <w:rPr>
      <w:rFonts w:ascii="Arial" w:hAnsi="Arial"/>
      <w:sz w:val="20"/>
    </w:rPr>
  </w:style>
  <w:style w:type="paragraph" w:styleId="884">
    <w:name w:val="Body Text Indent"/>
    <w:basedOn w:val="872"/>
    <w:link w:val="885"/>
    <w:pPr>
      <w:ind w:left="283" w:firstLine="0"/>
      <w:spacing w:after="120"/>
    </w:pPr>
    <w:rPr>
      <w:sz w:val="20"/>
    </w:rPr>
  </w:style>
  <w:style w:type="character" w:styleId="885">
    <w:name w:val="Body Text Indent"/>
    <w:basedOn w:val="873"/>
    <w:link w:val="884"/>
    <w:rPr>
      <w:sz w:val="20"/>
    </w:rPr>
  </w:style>
  <w:style w:type="paragraph" w:styleId="886">
    <w:name w:val="Endnote"/>
    <w:link w:val="887"/>
    <w:pPr>
      <w:ind w:left="0" w:firstLine="851"/>
      <w:jc w:val="both"/>
    </w:pPr>
    <w:rPr>
      <w:rFonts w:ascii="XO Thames" w:hAnsi="XO Thames"/>
      <w:sz w:val="22"/>
    </w:rPr>
  </w:style>
  <w:style w:type="character" w:styleId="887">
    <w:name w:val="Endnote"/>
    <w:link w:val="886"/>
    <w:rPr>
      <w:rFonts w:ascii="XO Thames" w:hAnsi="XO Thames"/>
      <w:sz w:val="22"/>
    </w:rPr>
  </w:style>
  <w:style w:type="paragraph" w:styleId="888">
    <w:name w:val="Heading 3"/>
    <w:next w:val="872"/>
    <w:link w:val="88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89">
    <w:name w:val="Heading 3"/>
    <w:link w:val="888"/>
    <w:rPr>
      <w:rFonts w:ascii="XO Thames" w:hAnsi="XO Thames"/>
      <w:b/>
      <w:sz w:val="26"/>
    </w:rPr>
  </w:style>
  <w:style w:type="paragraph" w:styleId="890">
    <w:name w:val="Default Paragraph Font"/>
    <w:link w:val="891"/>
  </w:style>
  <w:style w:type="character" w:styleId="891">
    <w:name w:val="Default Paragraph Font"/>
    <w:link w:val="890"/>
  </w:style>
  <w:style w:type="paragraph" w:styleId="892">
    <w:name w:val="toc 3"/>
    <w:next w:val="872"/>
    <w:link w:val="89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93">
    <w:name w:val="toc 3"/>
    <w:link w:val="892"/>
    <w:rPr>
      <w:rFonts w:ascii="XO Thames" w:hAnsi="XO Thames"/>
      <w:sz w:val="28"/>
    </w:rPr>
  </w:style>
  <w:style w:type="paragraph" w:styleId="894">
    <w:name w:val="Heading 5"/>
    <w:next w:val="872"/>
    <w:link w:val="89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95">
    <w:name w:val="Heading 5"/>
    <w:link w:val="894"/>
    <w:rPr>
      <w:rFonts w:ascii="XO Thames" w:hAnsi="XO Thames"/>
      <w:b/>
      <w:sz w:val="22"/>
    </w:rPr>
  </w:style>
  <w:style w:type="paragraph" w:styleId="896">
    <w:name w:val="Heading 1"/>
    <w:basedOn w:val="872"/>
    <w:next w:val="872"/>
    <w:link w:val="897"/>
    <w:uiPriority w:val="9"/>
    <w:qFormat/>
    <w:pPr>
      <w:jc w:val="both"/>
      <w:keepNext/>
      <w:outlineLvl w:val="0"/>
    </w:pPr>
  </w:style>
  <w:style w:type="character" w:styleId="897">
    <w:name w:val="Heading 1"/>
    <w:basedOn w:val="873"/>
    <w:link w:val="896"/>
  </w:style>
  <w:style w:type="paragraph" w:styleId="898">
    <w:name w:val="Hyperlink"/>
    <w:link w:val="899"/>
    <w:rPr>
      <w:color w:val="0000ff"/>
      <w:u w:val="single"/>
    </w:rPr>
  </w:style>
  <w:style w:type="character" w:styleId="899">
    <w:name w:val="Hyperlink"/>
    <w:link w:val="898"/>
    <w:rPr>
      <w:color w:val="0000ff"/>
      <w:u w:val="single"/>
    </w:rPr>
  </w:style>
  <w:style w:type="paragraph" w:styleId="900">
    <w:name w:val="Footnote"/>
    <w:link w:val="901"/>
    <w:pPr>
      <w:ind w:left="0" w:firstLine="851"/>
      <w:jc w:val="both"/>
    </w:pPr>
    <w:rPr>
      <w:rFonts w:ascii="XO Thames" w:hAnsi="XO Thames"/>
      <w:sz w:val="22"/>
    </w:rPr>
  </w:style>
  <w:style w:type="character" w:styleId="901">
    <w:name w:val="Footnote"/>
    <w:link w:val="900"/>
    <w:rPr>
      <w:rFonts w:ascii="XO Thames" w:hAnsi="XO Thames"/>
      <w:sz w:val="22"/>
    </w:rPr>
  </w:style>
  <w:style w:type="paragraph" w:styleId="902">
    <w:name w:val="toc 1"/>
    <w:next w:val="872"/>
    <w:link w:val="903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903">
    <w:name w:val="toc 1"/>
    <w:link w:val="902"/>
    <w:rPr>
      <w:rFonts w:ascii="XO Thames" w:hAnsi="XO Thames"/>
      <w:b/>
      <w:sz w:val="28"/>
    </w:rPr>
  </w:style>
  <w:style w:type="paragraph" w:styleId="904">
    <w:name w:val="Header and Footer"/>
    <w:link w:val="905"/>
    <w:pPr>
      <w:jc w:val="both"/>
      <w:spacing w:line="240" w:lineRule="auto"/>
    </w:pPr>
    <w:rPr>
      <w:rFonts w:ascii="XO Thames" w:hAnsi="XO Thames"/>
      <w:sz w:val="20"/>
    </w:rPr>
  </w:style>
  <w:style w:type="character" w:styleId="905">
    <w:name w:val="Header and Footer"/>
    <w:link w:val="904"/>
    <w:rPr>
      <w:rFonts w:ascii="XO Thames" w:hAnsi="XO Thames"/>
      <w:sz w:val="20"/>
    </w:rPr>
  </w:style>
  <w:style w:type="paragraph" w:styleId="906">
    <w:name w:val="toc 9"/>
    <w:next w:val="872"/>
    <w:link w:val="90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907">
    <w:name w:val="toc 9"/>
    <w:link w:val="906"/>
    <w:rPr>
      <w:rFonts w:ascii="XO Thames" w:hAnsi="XO Thames"/>
      <w:sz w:val="28"/>
    </w:rPr>
  </w:style>
  <w:style w:type="paragraph" w:styleId="908">
    <w:name w:val="toc 8"/>
    <w:next w:val="872"/>
    <w:link w:val="90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9">
    <w:name w:val="toc 8"/>
    <w:link w:val="908"/>
    <w:rPr>
      <w:rFonts w:ascii="XO Thames" w:hAnsi="XO Thames"/>
      <w:sz w:val="28"/>
    </w:rPr>
  </w:style>
  <w:style w:type="paragraph" w:styleId="910">
    <w:name w:val="List Paragraph"/>
    <w:basedOn w:val="872"/>
    <w:link w:val="911"/>
    <w:pPr>
      <w:contextualSpacing/>
      <w:ind w:left="720" w:firstLine="0"/>
    </w:pPr>
  </w:style>
  <w:style w:type="character" w:styleId="911">
    <w:name w:val="List Paragraph"/>
    <w:basedOn w:val="873"/>
    <w:link w:val="910"/>
  </w:style>
  <w:style w:type="paragraph" w:styleId="912">
    <w:name w:val="toc 5"/>
    <w:next w:val="872"/>
    <w:link w:val="913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13">
    <w:name w:val="toc 5"/>
    <w:link w:val="912"/>
    <w:rPr>
      <w:rFonts w:ascii="XO Thames" w:hAnsi="XO Thames"/>
      <w:sz w:val="28"/>
    </w:rPr>
  </w:style>
  <w:style w:type="paragraph" w:styleId="914">
    <w:name w:val="Body Text"/>
    <w:basedOn w:val="872"/>
    <w:link w:val="915"/>
    <w:pPr>
      <w:spacing w:after="120"/>
    </w:pPr>
  </w:style>
  <w:style w:type="character" w:styleId="915">
    <w:name w:val="Body Text"/>
    <w:basedOn w:val="873"/>
    <w:link w:val="914"/>
  </w:style>
  <w:style w:type="paragraph" w:styleId="916">
    <w:name w:val="Subtitle"/>
    <w:basedOn w:val="872"/>
    <w:link w:val="917"/>
    <w:uiPriority w:val="11"/>
    <w:qFormat/>
    <w:rPr>
      <w:sz w:val="28"/>
    </w:rPr>
  </w:style>
  <w:style w:type="character" w:styleId="917">
    <w:name w:val="Subtitle"/>
    <w:basedOn w:val="873"/>
    <w:link w:val="916"/>
    <w:rPr>
      <w:sz w:val="28"/>
    </w:rPr>
  </w:style>
  <w:style w:type="paragraph" w:styleId="918">
    <w:name w:val="Title"/>
    <w:basedOn w:val="872"/>
    <w:link w:val="919"/>
    <w:uiPriority w:val="10"/>
    <w:qFormat/>
    <w:pPr>
      <w:jc w:val="center"/>
    </w:pPr>
    <w:rPr>
      <w:sz w:val="32"/>
    </w:rPr>
  </w:style>
  <w:style w:type="character" w:styleId="919">
    <w:name w:val="Title"/>
    <w:basedOn w:val="873"/>
    <w:link w:val="918"/>
    <w:rPr>
      <w:sz w:val="32"/>
    </w:rPr>
  </w:style>
  <w:style w:type="paragraph" w:styleId="920">
    <w:name w:val="Heading 4"/>
    <w:next w:val="872"/>
    <w:link w:val="92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21">
    <w:name w:val="Heading 4"/>
    <w:link w:val="920"/>
    <w:rPr>
      <w:rFonts w:ascii="XO Thames" w:hAnsi="XO Thames"/>
      <w:b/>
      <w:sz w:val="24"/>
    </w:rPr>
  </w:style>
  <w:style w:type="paragraph" w:styleId="922">
    <w:name w:val="Heading 2"/>
    <w:basedOn w:val="872"/>
    <w:next w:val="872"/>
    <w:link w:val="923"/>
    <w:uiPriority w:val="9"/>
    <w:qFormat/>
    <w:pPr>
      <w:jc w:val="both"/>
      <w:keepNext/>
      <w:outlineLvl w:val="1"/>
    </w:pPr>
    <w:rPr>
      <w:b/>
    </w:rPr>
  </w:style>
  <w:style w:type="character" w:styleId="923">
    <w:name w:val="Heading 2"/>
    <w:basedOn w:val="873"/>
    <w:link w:val="922"/>
    <w:rPr>
      <w:b/>
    </w:rPr>
  </w:style>
  <w:style w:type="table" w:styleId="92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32</cp:revision>
  <dcterms:modified xsi:type="dcterms:W3CDTF">2026-04-14T12:10:45Z</dcterms:modified>
</cp:coreProperties>
</file>