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ЗАКЛЮЧЕНИЕ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на отчет об исполнении  бюджета Кирилловского муниципального округа за 1 полугодие 2024 года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г. Кириллов                                                                                                                         26.07.2024</w:t>
      </w:r>
      <w:r>
        <w:rPr>
          <w:color w:val="000000"/>
        </w:rPr>
        <w:t xml:space="preserve"> г.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</w:t>
      </w:r>
      <w:bookmarkStart w:id="0" w:name="_GoBack"/>
      <w:r>
        <w:rPr/>
        <w:t>Заключение контрольно-счетного комитета Кирилловского муниципального округа</w:t>
      </w:r>
      <w:r>
        <w:rPr>
          <w:rStyle w:val="Style13"/>
        </w:rPr>
        <w:footnoteReference w:id="2"/>
      </w:r>
      <w:r>
        <w:rPr/>
        <w:t xml:space="preserve">  на отчет об исполнении бюджета округа за 1 полугодие 2024 года  подготовлено  на основании  пункта 1.4 плана работы контрольно-счетного комитета, ст.8 Положения о контрольно-счетном комитете округа, утвержденного решением Представительного Собрания Кирилловского муниципального округа от 16.11.2023 № 52, ст.157, 268.1 Бюджетного кодекса Российской Федерации,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Положения о бюджетном процессе в Кирилловском муниципальном округе, утвержденного решением Представительного Собрания Кирилловского муниципального округа  от 02.11.2023 № 34</w:t>
      </w:r>
      <w:r>
        <w:rPr>
          <w:rStyle w:val="Style13"/>
        </w:rPr>
        <w:footnoteReference w:id="3"/>
      </w:r>
      <w:r>
        <w:rPr/>
        <w:t xml:space="preserve">. </w:t>
      </w:r>
    </w:p>
    <w:p>
      <w:pPr>
        <w:pStyle w:val="Style82"/>
        <w:widowControl/>
        <w:spacing w:lineRule="auto" w:line="240"/>
        <w:ind w:left="0" w:right="0" w:firstLine="709"/>
        <w:rPr/>
      </w:pPr>
      <w:r>
        <w:rPr/>
        <w:t xml:space="preserve">Отчет об исполнении бюджета округа за 1 полугодие 2024 года (далее – отчет об исполнении бюджета) утвержден постановлением администрации Кирилловского муниципального округа от 11.07.2024 № 1071 и представлен в контрольно-счетный комитет округа в соответствии с п.11.1. Положения «О бюджетном процессе в Кирилловском муниципальном округе». </w:t>
      </w:r>
      <w:bookmarkEnd w:id="0"/>
    </w:p>
    <w:p>
      <w:pPr>
        <w:pStyle w:val="Style82"/>
        <w:widowControl/>
        <w:spacing w:lineRule="auto" w:line="240"/>
        <w:ind w:left="0" w:right="0" w:firstLine="709"/>
        <w:rPr/>
      </w:pPr>
      <w:r>
        <w:rPr/>
        <w:t>Анализ отчета об исполнении бюджета проведен  в следующих целях:</w:t>
      </w:r>
    </w:p>
    <w:p>
      <w:pPr>
        <w:pStyle w:val="Style82"/>
        <w:widowControl/>
        <w:spacing w:lineRule="auto" w:line="240"/>
        <w:ind w:left="0" w:right="0" w:hanging="0"/>
        <w:rPr/>
      </w:pPr>
      <w:r>
        <w:rPr/>
        <w:t>-сопоставления исполненных показателей бюджета округа за 1 полугодие 2024 года с годовыми назначениями, а также с показателями за аналогичный период предыдущего года;</w:t>
      </w:r>
    </w:p>
    <w:p>
      <w:pPr>
        <w:pStyle w:val="Style82"/>
        <w:widowControl/>
        <w:spacing w:lineRule="auto" w:line="240"/>
        <w:ind w:left="0" w:right="0" w:hanging="0"/>
        <w:rPr/>
      </w:pPr>
      <w:r>
        <w:rPr/>
        <w:t>-выявления возможных несоответствий (нарушений) и подготовки предложений, направленных на их устранение.</w:t>
      </w:r>
    </w:p>
    <w:p>
      <w:pPr>
        <w:pStyle w:val="Style82"/>
        <w:widowControl/>
        <w:spacing w:lineRule="auto" w:line="240"/>
        <w:ind w:left="0" w:right="0" w:firstLine="709"/>
        <w:rPr>
          <w:color w:val="333333"/>
        </w:rPr>
      </w:pPr>
      <w:r>
        <w:rPr>
          <w:color w:val="333333"/>
        </w:rPr>
      </w:r>
    </w:p>
    <w:p>
      <w:pPr>
        <w:pStyle w:val="Style35"/>
        <w:ind w:left="0" w:righ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характеристика бюджет округа</w:t>
      </w:r>
    </w:p>
    <w:p>
      <w:pPr>
        <w:pStyle w:val="Normal"/>
        <w:ind w:left="0" w:right="0" w:firstLine="709"/>
        <w:jc w:val="both"/>
        <w:rPr/>
      </w:pPr>
      <w:r>
        <w:rPr/>
        <w:t xml:space="preserve">Отчет об исполнении  бюджета округа составлен в форме таблицы по доходам бюджета и по расходам  бюджета по разделам, подразделам классификации расходов. </w:t>
      </w:r>
    </w:p>
    <w:p>
      <w:pPr>
        <w:pStyle w:val="Normal"/>
        <w:ind w:left="0" w:right="0" w:firstLine="709"/>
        <w:jc w:val="both"/>
        <w:rPr/>
      </w:pPr>
      <w:r>
        <w:rPr/>
        <w:t>Основные характеристики бюджета округа на 2024 год утверждены решением  Представительного Собрания округа от 14.12.2023 № 53:</w:t>
      </w:r>
    </w:p>
    <w:p>
      <w:pPr>
        <w:pStyle w:val="Normal"/>
        <w:jc w:val="both"/>
        <w:rPr/>
      </w:pPr>
      <w:r>
        <w:rPr/>
        <w:t>- общий объем доходов –1148111,5тыс. рублей;</w:t>
      </w:r>
    </w:p>
    <w:p>
      <w:pPr>
        <w:pStyle w:val="Normal"/>
        <w:jc w:val="both"/>
        <w:rPr/>
      </w:pPr>
      <w:r>
        <w:rPr/>
        <w:t>- общий объем расходов -1160216,8 тыс. рублей;</w:t>
      </w:r>
    </w:p>
    <w:p>
      <w:pPr>
        <w:pStyle w:val="Normal"/>
        <w:jc w:val="both"/>
        <w:rPr/>
      </w:pPr>
      <w:r>
        <w:rPr/>
        <w:t>- дефицит бюджета – 12105,3 тыс. рублей.</w:t>
      </w:r>
    </w:p>
    <w:p>
      <w:pPr>
        <w:pStyle w:val="Normal"/>
        <w:jc w:val="both"/>
        <w:rPr/>
      </w:pPr>
      <w:r>
        <w:rPr/>
        <w:t xml:space="preserve">             </w:t>
      </w:r>
      <w:r>
        <w:rPr/>
        <w:t>Изменения в решение Представительного Собрания Кирилловского муниципального округа от 14.12.2023 № 53 «О бюджете Кирилловского муниципального округа на 2024 год и плановый период 2025 и 2026 годов» в первом полугодии вносились два раза.</w:t>
      </w:r>
    </w:p>
    <w:p>
      <w:pPr>
        <w:pStyle w:val="Normal"/>
        <w:jc w:val="both"/>
        <w:rPr/>
      </w:pPr>
      <w:r>
        <w:rPr/>
        <w:t xml:space="preserve">             </w:t>
      </w:r>
      <w:r>
        <w:rPr/>
        <w:t>Решением Представительного Собрания Кирилловского муниципального округа от 12.04.2024 № 141 утверждены следующие характеристики бюджет округа:</w:t>
      </w:r>
    </w:p>
    <w:p>
      <w:pPr>
        <w:pStyle w:val="Normal"/>
        <w:jc w:val="both"/>
        <w:rPr/>
      </w:pPr>
      <w:r>
        <w:rPr/>
        <w:t>- общий объем доходов – 1474318,4 тыс. рублей;</w:t>
      </w:r>
    </w:p>
    <w:p>
      <w:pPr>
        <w:pStyle w:val="Normal"/>
        <w:jc w:val="both"/>
        <w:rPr/>
      </w:pPr>
      <w:r>
        <w:rPr/>
        <w:t>- общий объем расходов – 1560538,0 тыс. рублей;</w:t>
      </w:r>
    </w:p>
    <w:p>
      <w:pPr>
        <w:pStyle w:val="Normal"/>
        <w:jc w:val="both"/>
        <w:rPr/>
      </w:pPr>
      <w:r>
        <w:rPr/>
        <w:t>- дефицит бюджета – 86219,6 тыс. рублей.</w:t>
      </w:r>
    </w:p>
    <w:p>
      <w:pPr>
        <w:pStyle w:val="Normal"/>
        <w:jc w:val="both"/>
        <w:rPr>
          <w:highlight w:val="white"/>
        </w:rPr>
      </w:pPr>
      <w:r>
        <w:rPr/>
        <w:tab/>
        <w:t>В отчете об исполнении бюджет округа за 1 полугодие 2024 года данные по доходам и расходам отражены с учетом</w:t>
      </w:r>
      <w:r>
        <w:rPr>
          <w:highlight w:val="white"/>
        </w:rPr>
        <w:t xml:space="preserve"> изменений объемов бюджетных ассигнований, утвержденных решением о бюджете на отчетную дату, которые были осуществлены в соответствии со статьей 217 Бюджетного кодекса РФ и решением о бюджете</w:t>
      </w:r>
      <w:r>
        <w:rPr>
          <w:color w:val="000000"/>
          <w:highlight w:val="white"/>
        </w:rPr>
        <w:t xml:space="preserve"> (посредством внесения изменений в сводную бюджетную роспись без внесения изменений в решение о бюджете).</w:t>
      </w:r>
      <w:r>
        <w:rPr>
          <w:highlight w:val="white"/>
        </w:rPr>
        <w:t xml:space="preserve"> Таким образом,  согласно представленного отчета плановые годовые бюджетные ассигнования на 01.07.2024 года составляют: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>- общий объем доходов - 1480912,0 тыс. рублей;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>- общий объем расходов – 1567131,7 тыс. рублей;</w:t>
      </w:r>
    </w:p>
    <w:p>
      <w:pPr>
        <w:pStyle w:val="Normal"/>
        <w:jc w:val="both"/>
        <w:rPr/>
      </w:pPr>
      <w:r>
        <w:rPr>
          <w:highlight w:val="white"/>
        </w:rPr>
        <w:t xml:space="preserve">- дефицит бюджета – 86219,7 тыс. рублей. </w:t>
      </w:r>
    </w:p>
    <w:p>
      <w:pPr>
        <w:pStyle w:val="Normal"/>
        <w:ind w:left="0" w:right="0" w:firstLine="375"/>
        <w:jc w:val="both"/>
        <w:rPr/>
      </w:pPr>
      <w:r>
        <w:rPr/>
        <w:t xml:space="preserve">     </w:t>
      </w:r>
      <w:r>
        <w:rPr/>
        <w:t>В 1 полугодии 2024 года в бюджет округа поступили доходы в сумме 528107,0 тыс. рублей, что составляет 35,7 % от утвержденных годовых назначений.  Налоговые и неналоговые доходы – 151425,8 тыс. рублей или 51,6 % от утвержденных годовых назначений,  объем безвозмездных поступлений составил  376681,2 тыс. рублей или 31,7 % от утвержденных годовых назначений.</w:t>
      </w:r>
    </w:p>
    <w:p>
      <w:pPr>
        <w:pStyle w:val="Normal"/>
        <w:ind w:left="0" w:right="0" w:firstLine="375"/>
        <w:jc w:val="both"/>
        <w:rPr/>
      </w:pPr>
      <w:r>
        <w:rPr/>
        <w:tab/>
        <w:t>Расходы бюджет округа исполнены в сумме 480485,8 тыс. руб. или 30,7 % к годовым назначениям.</w:t>
      </w:r>
    </w:p>
    <w:p>
      <w:pPr>
        <w:pStyle w:val="Normal"/>
        <w:ind w:left="0" w:right="0" w:firstLine="375"/>
        <w:jc w:val="both"/>
        <w:rPr/>
      </w:pPr>
      <w:r>
        <w:rPr/>
        <w:t xml:space="preserve">     </w:t>
      </w:r>
      <w:r>
        <w:rPr/>
        <w:t>В 1 полугодии бюджет округа исполнен с профицитом в сумме 47621,2 тыс. рублей.</w:t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основных характеристик бюджет округа за 1 полугодие 2024 года в сравнении с аналогичным периодом 2023 года характеризуется в таблице № 1.</w:t>
      </w:r>
    </w:p>
    <w:p>
      <w:pPr>
        <w:pStyle w:val="Style35"/>
        <w:ind w:left="0" w:right="0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 1(тыс. руб.)</w:t>
      </w:r>
    </w:p>
    <w:tbl>
      <w:tblPr>
        <w:tblStyle w:val="Style_5"/>
        <w:tblpPr w:bottomFromText="0" w:horzAnchor="margin" w:leftFromText="180" w:rightFromText="180" w:tblpX="0" w:tblpXSpec="left" w:tblpY="1024" w:topFromText="0" w:vertAnchor="text"/>
        <w:tblW w:w="101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134"/>
        <w:gridCol w:w="1276"/>
        <w:gridCol w:w="1275"/>
        <w:gridCol w:w="1135"/>
        <w:gridCol w:w="1560"/>
        <w:gridCol w:w="992"/>
        <w:gridCol w:w="987"/>
      </w:tblGrid>
      <w:tr>
        <w:trPr>
          <w:tblHeader w:val="true"/>
          <w:trHeight w:val="1699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Исполнение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1полугодие  2023 г.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(консолидированный бюджет)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Уточненный бюджетный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план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на  2024 г.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(ф. 0503117)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Исполнение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1 полугодие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2024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% исполнения, гр.4/гр.3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Отклонение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1 полугодия 2023 г.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1 полугодия 2024 г.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(гр. 4 – гр. 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Отношение 1 полугодия 2024 г.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к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1 полугодию 2023 г.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(%)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(гр.4/гр.2)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Уд. вес в общей сумме доходов, %</w:t>
            </w:r>
          </w:p>
        </w:tc>
      </w:tr>
      <w:tr>
        <w:trPr>
          <w:tblHeader w:val="true"/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8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Всего доходов,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332306,6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1480912,0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528107,0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+195800,4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158,9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100,0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000000"/>
                <w:spacing w:val="0"/>
                <w:kern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127873,2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293625,0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151425,8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51,6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+23552,6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118,4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    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28,7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color w:val="000000"/>
                <w:spacing w:val="0"/>
                <w:kern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204433,4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1187287,0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376681,2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+172247,8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184,3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71,3</w:t>
            </w:r>
          </w:p>
        </w:tc>
      </w:tr>
      <w:tr>
        <w:trPr>
          <w:trHeight w:val="20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307174,7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1567131,7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480485,8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     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30,7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+173311,1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156,4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</w:tr>
      <w:tr>
        <w:trPr>
          <w:trHeight w:val="425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Дефицит (-), профицит (+)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+25131,9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-86219,7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+47621,2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х</w:t>
            </w:r>
          </w:p>
        </w:tc>
      </w:tr>
    </w:tbl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2"/>
        <w:widowControl/>
        <w:spacing w:lineRule="auto" w:line="228"/>
        <w:ind w:left="0" w:right="0" w:firstLine="709"/>
        <w:jc w:val="both"/>
        <w:rPr/>
      </w:pPr>
      <w:r>
        <w:rPr/>
        <w:t>По сравнению с 1 полугодием 2023 года доходы  увеличились на 195800,4 тыс. рублей, или на 58,9 %, расходы  увеличились на 173311,1 тыс. рублей  или на 56,4 %.  Бюджет округа за 1 полугодие  2024 года исполнен  с профицитом  в сумме 47621,2 тыс. рублей, за аналогичный период 2023 года бюджет исполнен с профицитом  в сумме 25131,9 тыс. рублей.</w:t>
      </w:r>
    </w:p>
    <w:p>
      <w:pPr>
        <w:pStyle w:val="Style32"/>
        <w:widowControl/>
        <w:spacing w:lineRule="auto" w:line="228"/>
        <w:ind w:left="0" w:right="0" w:firstLine="709"/>
        <w:jc w:val="center"/>
        <w:rPr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Style32"/>
        <w:widowControl/>
        <w:spacing w:lineRule="auto" w:line="228"/>
        <w:ind w:left="0" w:right="0" w:firstLine="709"/>
        <w:jc w:val="center"/>
        <w:rPr>
          <w:b/>
        </w:rPr>
      </w:pPr>
      <w:r>
        <w:rPr>
          <w:b/>
        </w:rPr>
        <w:t>Доходы бюджет округа</w:t>
      </w:r>
    </w:p>
    <w:p>
      <w:pPr>
        <w:pStyle w:val="Style32"/>
        <w:widowControl/>
        <w:spacing w:lineRule="auto" w:line="228"/>
        <w:jc w:val="both"/>
        <w:rPr/>
      </w:pPr>
      <w:r>
        <w:rPr>
          <w:b/>
        </w:rPr>
        <w:t xml:space="preserve">            </w:t>
      </w:r>
      <w:r>
        <w:rPr/>
        <w:t>Исполнение доходной части бюджета является одним из основных показателей финансового состояния  муниципального образования. Доходная часть бюджета округа сформирована за счет поступлений из следующих основных источников: налоговых, неналоговых доходов и безвозмездных поступлений. Структура источников формирования доходов бюджета округа в 1 полугодии 2024 года приведена в таблице №2.</w:t>
      </w:r>
    </w:p>
    <w:p>
      <w:pPr>
        <w:pStyle w:val="Style32"/>
        <w:widowControl/>
        <w:spacing w:lineRule="auto" w:line="228"/>
        <w:jc w:val="both"/>
        <w:rPr/>
      </w:pPr>
      <w:r>
        <w:rPr/>
      </w:r>
    </w:p>
    <w:p>
      <w:pPr>
        <w:pStyle w:val="Style32"/>
        <w:widowControl/>
        <w:spacing w:lineRule="auto" w:line="228"/>
        <w:jc w:val="both"/>
        <w:rPr/>
      </w:pPr>
      <w:r>
        <w:rPr/>
      </w:r>
    </w:p>
    <w:p>
      <w:pPr>
        <w:pStyle w:val="Style32"/>
        <w:widowControl/>
        <w:spacing w:lineRule="auto" w:line="228"/>
        <w:jc w:val="right"/>
        <w:rPr/>
      </w:pPr>
      <w:r>
        <w:rPr/>
        <w:t>Таблица №2 (тыс. руб.)</w:t>
      </w:r>
    </w:p>
    <w:tbl>
      <w:tblPr>
        <w:tblStyle w:val="Style_5"/>
        <w:tblpPr w:bottomFromText="0" w:horzAnchor="margin" w:leftFromText="180" w:rightFromText="180" w:tblpX="0" w:tblpXSpec="left" w:tblpY="101" w:topFromText="0" w:vertAnchor="text"/>
        <w:tblW w:w="1016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134"/>
        <w:gridCol w:w="1276"/>
        <w:gridCol w:w="1275"/>
        <w:gridCol w:w="1135"/>
        <w:gridCol w:w="1560"/>
        <w:gridCol w:w="992"/>
        <w:gridCol w:w="987"/>
      </w:tblGrid>
      <w:tr>
        <w:trPr>
          <w:trHeight w:val="1699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Исполнение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1полугодие  2023 г.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  <w:t>(консолидированный  бюджет)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Уточненный бюджетный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план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на  2024 г.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(ф. 0503117)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Исполнение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1 полугодие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2024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% исполнения, гр.4/гр.3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Отклонение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1 полугодия 2023 г.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от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1 полугодия 2024 г.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FF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(гр. 4 – гр. 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Отношение 1 полугодия 2024 г.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к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1 полугодию 2023 г.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(%)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(гр.4/гр.2)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Уд. вес в общей сумме доходов, %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pacing w:val="0"/>
                <w:kern w:val="0"/>
                <w:sz w:val="16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pacing w:val="0"/>
                <w:kern w:val="0"/>
                <w:sz w:val="16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8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106681,4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278143,0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135933,8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48,9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+29252,4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127,4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25,7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78301,7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205920,0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103338,2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+25036,5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132,0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19,6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14985,2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34569,0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15936,3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+951,1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106,3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3,0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Налог, взимаемый с налогоплательщиков, выбравших в качестве объекта налого0бложения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8403,0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20703,0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10339,2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1936,2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123,0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Налог, взимаемый с налогоплательщиков выбравших в качестве объекта налогообложения доходы, уменьшенные на величину расходов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2640,7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2872,0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2702,2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94,1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102,3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0,5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-135,5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+135,6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252,8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952,0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1076,0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+823,2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Свыше 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0,2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0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5123,0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264,7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+131,7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0,05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kern w:val="0"/>
                <w:sz w:val="16"/>
                <w:szCs w:val="20"/>
              </w:rPr>
              <w:t>1105,2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2770,0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1187,6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107,5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0,2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0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3610,0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389,7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+283,9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Свыше 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0,05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Государственная пошлина, сборы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785,2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1624,0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699,7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89,1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0,1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21191,8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15482,0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15492,0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100,1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-5699,8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73,1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3,0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11793,1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7577,0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6614,2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87,3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-5178,9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56,1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1,3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-533,8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10,1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kern w:val="0"/>
                <w:sz w:val="16"/>
                <w:szCs w:val="20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2021,7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2062,0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1570,1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76,1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-451,6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77,7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0,3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6270,7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4765,0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6953,6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145,9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+682,9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110,9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1,3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310,6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613,0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94,6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0,1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kern w:val="0"/>
                <w:sz w:val="16"/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-201,6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388" w:leader="none"/>
              </w:tabs>
              <w:spacing w:before="0" w:after="0"/>
              <w:ind w:left="-108" w:right="-108" w:hanging="0"/>
              <w:jc w:val="left"/>
              <w:rPr>
                <w:color w:val="FF0000"/>
                <w:sz w:val="16"/>
              </w:rPr>
            </w:pPr>
            <w:r>
              <w:rPr>
                <w:color w:val="FF0000"/>
                <w:spacing w:val="0"/>
                <w:kern w:val="0"/>
                <w:sz w:val="16"/>
                <w:szCs w:val="20"/>
              </w:rPr>
              <w:tab/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127873,2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293625,0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151425,8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51,6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+23552,6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118,4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28,8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204433,4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1187287,0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376681,2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+172247,8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184,3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71,3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204596,7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1184552,4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375486,6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+170889,9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183,5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71,1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Дотации бюджетам субъекта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47913,0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229878,0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105070,2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+57157,2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Свыше 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19,9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Субсидии бюджетам субъекта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57968,3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720401,8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151274,1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+93305,8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Свыше 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28,6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Субвенции бюджетам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98615,4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221825,6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107217,3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+8601,9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108,7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20,3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12447,0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11925,0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95,8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11825,00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Свыше 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2,3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1144,3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367,2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32,1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+367,2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kern w:val="0"/>
                <w:sz w:val="16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0,1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1590,3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827,4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+677,4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kern w:val="0"/>
                <w:sz w:val="16"/>
                <w:szCs w:val="20"/>
              </w:rPr>
              <w:t>Свыше 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0,1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-328,5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+328,5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Доходы от возврата остатков субсидий,субвенций и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-16,7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-1,5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+1,5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ДОХОДЫ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332306,6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1480912,0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528107,0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35,7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+195800,4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158,9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-108" w:right="-108" w:hanging="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0"/>
                <w:kern w:val="0"/>
                <w:sz w:val="16"/>
                <w:szCs w:val="20"/>
              </w:rPr>
              <w:t>100,0</w:t>
            </w:r>
          </w:p>
        </w:tc>
      </w:tr>
    </w:tbl>
    <w:p>
      <w:pPr>
        <w:pStyle w:val="Style32"/>
        <w:widowControl/>
        <w:spacing w:lineRule="auto" w:line="228"/>
        <w:ind w:left="0" w:right="0" w:firstLine="709"/>
        <w:jc w:val="center"/>
        <w:rPr/>
      </w:pPr>
      <w:r>
        <w:rPr/>
      </w:r>
    </w:p>
    <w:p>
      <w:pPr>
        <w:pStyle w:val="Style32"/>
        <w:widowControl/>
        <w:spacing w:lineRule="auto" w:line="228"/>
        <w:ind w:left="0" w:right="0" w:firstLine="709"/>
        <w:jc w:val="both"/>
        <w:rPr/>
      </w:pPr>
      <w:r>
        <w:rPr/>
        <w:t>Исполнение бюджета по доходам в 1 полугодии 2024 года составило:</w:t>
      </w:r>
    </w:p>
    <w:p>
      <w:pPr>
        <w:pStyle w:val="Style32"/>
        <w:widowControl/>
        <w:spacing w:lineRule="auto" w:line="228"/>
        <w:jc w:val="both"/>
        <w:rPr/>
      </w:pPr>
      <w:r>
        <w:rPr/>
        <w:t>- налоговые доходы – 135933,8 тыс. рублей или 48,9 % уточненного бюджета на год;</w:t>
      </w:r>
    </w:p>
    <w:p>
      <w:pPr>
        <w:pStyle w:val="Style32"/>
        <w:widowControl/>
        <w:spacing w:lineRule="auto" w:line="228"/>
        <w:jc w:val="both"/>
        <w:rPr/>
      </w:pPr>
      <w:r>
        <w:rPr/>
        <w:t>- неналоговые доходы – 15492,0 тыс. рублей или 100,1 % уточненного бюджета за год;</w:t>
      </w:r>
    </w:p>
    <w:p>
      <w:pPr>
        <w:pStyle w:val="Style32"/>
        <w:widowControl/>
        <w:spacing w:lineRule="auto" w:line="228"/>
        <w:jc w:val="both"/>
        <w:rPr/>
      </w:pPr>
      <w:r>
        <w:rPr/>
        <w:t>- безвозмездные поступления – 376681,2 тыс. рублей или 31,7 % уточненного бюджета на год.</w:t>
      </w:r>
    </w:p>
    <w:p>
      <w:pPr>
        <w:pStyle w:val="Style32"/>
        <w:widowControl/>
        <w:spacing w:lineRule="auto" w:line="228"/>
        <w:jc w:val="both"/>
        <w:rPr/>
      </w:pPr>
      <w:r>
        <w:rPr/>
        <w:t xml:space="preserve">Таким образом, исполнение доходной части бюджета округа за 1 полугодие 2024 года обеспечено поступлением собственных доходов - 51,6 %, что выше на 19,9 % </w:t>
      </w:r>
      <w:r>
        <w:rPr/>
        <w:t>исполнения</w:t>
      </w:r>
      <w:r>
        <w:rPr/>
        <w:t xml:space="preserve">  безвозмездных поступлений (31,7 %).</w:t>
      </w:r>
    </w:p>
    <w:p>
      <w:pPr>
        <w:pStyle w:val="Style32"/>
        <w:widowControl/>
        <w:spacing w:lineRule="auto" w:line="228"/>
        <w:jc w:val="both"/>
        <w:rPr/>
      </w:pPr>
      <w:r>
        <w:rPr/>
        <w:t xml:space="preserve">            </w:t>
      </w:r>
      <w:r>
        <w:rPr/>
        <w:t xml:space="preserve">Налоговые и неналоговые доходы исполнены в сумме 151425,8 тыс. рублей или 51,6 % к утвержденным назначениям. Удельный вес собственных доходов в общих доходах бюджета округа составил 28,7 %. По сравнению с 1 полугодием 2023 года налоговые и неналоговые доходы увеличились на 23552,6тыс. рублей или на 18,4%. </w:t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Налоговые доходы</w:t>
      </w:r>
      <w:r>
        <w:rPr>
          <w:rFonts w:ascii="Times New Roman" w:hAnsi="Times New Roman"/>
        </w:rPr>
        <w:t xml:space="preserve"> за 1 полугодие 2024 года исполнены в сумме 135933,8 тыс. рублей или на 48,9 % к плановым назначениям, установленным в сумме 278143,0 тыс. рублей. По сравнению с аналогичным периодом прошлого года  объем налоговых доходов увеличился  на 29252,4тыс. рублей или на 27,4%.</w:t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Структура налоговых доходов бюджета округа представлена в таблице №3.</w:t>
      </w:r>
    </w:p>
    <w:p>
      <w:pPr>
        <w:pStyle w:val="Style35"/>
        <w:ind w:left="0" w:right="0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№3 (тыс. руб.)</w:t>
      </w:r>
    </w:p>
    <w:tbl>
      <w:tblPr>
        <w:tblStyle w:val="Style_7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974"/>
        <w:gridCol w:w="2945"/>
      </w:tblGrid>
      <w:tr>
        <w:trPr/>
        <w:tc>
          <w:tcPr>
            <w:tcW w:w="4219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Наименование дохода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Исполнение</w:t>
            </w:r>
          </w:p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 полугодие 2024 года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Удельный вес в структуре налоговых доходов (%)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Налог на доходы физических лиц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103338,2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76,0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15936,3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11,7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Налоги на совокупный доход, в т.ч: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14117,6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10,4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10339,2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7,6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2702,20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2,0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0,1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0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Единый сельскохозяйственный налог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0,1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0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1076,0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0,8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Налоги на имущество, в т.ч.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1842,0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1,4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Налог на имущество физических лиц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264,7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0,2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Земельный налог с организаций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1187,6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0,9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Земельный налог с физических лиц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389,7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0,3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Государственная пошлина, сборы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699,7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0,5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-108" w:hanging="0"/>
              <w:jc w:val="left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Итого налоговые доходы бюджета</w:t>
            </w:r>
          </w:p>
        </w:tc>
        <w:tc>
          <w:tcPr>
            <w:tcW w:w="297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Cs w:val="20"/>
              </w:rPr>
              <w:t>135933,8</w:t>
            </w:r>
          </w:p>
        </w:tc>
        <w:tc>
          <w:tcPr>
            <w:tcW w:w="2945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Cs w:val="20"/>
              </w:rPr>
              <w:t>100,0</w:t>
            </w:r>
          </w:p>
        </w:tc>
      </w:tr>
    </w:tbl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32" w:leader="none"/>
        </w:tabs>
        <w:ind w:left="0" w:right="0" w:firstLine="709"/>
        <w:jc w:val="both"/>
        <w:rPr/>
      </w:pPr>
      <w:r>
        <w:rPr/>
        <w:t xml:space="preserve"> </w:t>
      </w:r>
      <w:r>
        <w:rPr/>
        <w:t>В отчетном периоде первое место по объему налоговых доходов за 1 полугодие 2024 года занимает налог на доходы физических лиц.  Доля налога на доходы физических лиц в налоговых доходах бюджета составляет 76,0 %, по сравнению с аналогичным периодом 2023 года  увеличилась на 2,6 %. Общий объем указанного налога составил  103338,2 тыс. рублей или 50,2 % от плановых назначений на год. Объем поступлений данного налога за аналогичный период 2023 года   составил 78301,7 тыс. рублей. Таким образом, по сравнению с 1 полугодием 2023 года, объем поступлений  увеличился  на 25036,5 тыс. рублей или на 32 %.</w:t>
      </w:r>
    </w:p>
    <w:p>
      <w:pPr>
        <w:pStyle w:val="Normal"/>
        <w:tabs>
          <w:tab w:val="clear" w:pos="708"/>
          <w:tab w:val="left" w:pos="432" w:leader="none"/>
        </w:tabs>
        <w:ind w:left="0" w:right="0" w:firstLine="709"/>
        <w:jc w:val="both"/>
        <w:rPr/>
      </w:pPr>
      <w:r>
        <w:rPr/>
        <w:t xml:space="preserve">Второе место по величине поступлений в бюджет округа в 1 полугодии текущего года занимают акцизы по подакцизным товарам в сумме 15936,3 тыс. рублей или 46,1 % от годовых плановых назначений, что на 951,1 тыс. рублей больше, чем за аналогичный период 2023 года. В структуре налоговых доходов данный налог составил 11,7 %. </w:t>
      </w:r>
    </w:p>
    <w:p>
      <w:pPr>
        <w:pStyle w:val="Normal"/>
        <w:tabs>
          <w:tab w:val="clear" w:pos="708"/>
          <w:tab w:val="left" w:pos="432" w:leader="none"/>
        </w:tabs>
        <w:ind w:left="0" w:right="0" w:firstLine="709"/>
        <w:jc w:val="both"/>
        <w:rPr/>
      </w:pPr>
      <w:r>
        <w:rPr/>
        <w:t>Налоги на совокупный доход составили 14117,6 тыс. рублей  или 57,6 % от плановых назначений на год. По сравнению с 1 полугодием 2023 года поступления налога на совокупный доход  увеличилось на 2852,3 тыс. рублей. Доля  в налоговых доходах составила 10,4 %.</w:t>
      </w:r>
    </w:p>
    <w:p>
      <w:pPr>
        <w:pStyle w:val="Normal"/>
        <w:tabs>
          <w:tab w:val="clear" w:pos="708"/>
          <w:tab w:val="left" w:pos="432" w:leader="none"/>
        </w:tabs>
        <w:ind w:left="0" w:right="0" w:firstLine="709"/>
        <w:jc w:val="both"/>
        <w:rPr/>
      </w:pPr>
      <w:r>
        <w:rPr/>
        <w:t>Налоги на имущество составили 1842,0 тыс. рублей  или 16 % от плановых назначений на год.   Доля  в налоговых доходах составила 1,4 %. По сравнению с 1 полугодием 2023 года поступления налога на имущество  увеличилось на 498,0 тыс. рублей</w:t>
      </w:r>
    </w:p>
    <w:p>
      <w:pPr>
        <w:pStyle w:val="Style32"/>
        <w:widowControl/>
        <w:ind w:left="0" w:right="0" w:firstLine="709"/>
        <w:jc w:val="both"/>
        <w:rPr>
          <w:sz w:val="24"/>
        </w:rPr>
      </w:pPr>
      <w:r>
        <w:rPr>
          <w:sz w:val="24"/>
        </w:rPr>
        <w:t>Доходы от  г</w:t>
      </w:r>
      <w:r>
        <w:rPr/>
        <w:t xml:space="preserve">осударственной пошлины, сборов составило 699,7  тыс. рублей или 43,1 %  от годовых  плановых назначений. </w:t>
      </w:r>
      <w:r>
        <w:rPr>
          <w:sz w:val="24"/>
        </w:rPr>
        <w:t>П</w:t>
      </w:r>
      <w:r>
        <w:rPr/>
        <w:t xml:space="preserve">о сравнению с аналогичным периодом 2023 года поступления  сократились </w:t>
      </w:r>
      <w:r>
        <w:rPr>
          <w:sz w:val="24"/>
        </w:rPr>
        <w:t>на 85,5 тыс. рублей или на 10,9 %. Удельный вес в налоговых доходах бюджета составляет 0,5 %.</w:t>
      </w:r>
    </w:p>
    <w:p>
      <w:pPr>
        <w:pStyle w:val="Style32"/>
        <w:widowControl/>
        <w:ind w:left="0" w:right="0" w:firstLine="709"/>
        <w:jc w:val="both"/>
        <w:rPr>
          <w:i/>
          <w:i/>
        </w:rPr>
      </w:pPr>
      <w:r>
        <w:rPr>
          <w:i/>
          <w:sz w:val="24"/>
        </w:rPr>
        <w:t xml:space="preserve">В ходе проведенного сравнительного анализа поступлений в бюджет налоговых доходов в 1 полугодии 2024 года и  1 полугодии 2023 года установлено  </w:t>
      </w:r>
      <w:r>
        <w:rPr>
          <w:i/>
          <w:sz w:val="24"/>
          <w:u w:val="single"/>
        </w:rPr>
        <w:t>увеличение объема поступлений:</w:t>
      </w:r>
      <w:r>
        <w:rPr>
          <w:i/>
          <w:sz w:val="24"/>
        </w:rPr>
        <w:t xml:space="preserve">  налога на доходы физических лиц на  32 %,; по  акцизу по подакцизным товарам на 6,3%; налогов на совокупный доход на 25,3 %, </w:t>
      </w:r>
      <w:r>
        <w:rPr>
          <w:i/>
          <w:sz w:val="24"/>
          <w:u w:val="single"/>
        </w:rPr>
        <w:t xml:space="preserve">сокращение объема поступлений: </w:t>
      </w:r>
      <w:r>
        <w:rPr>
          <w:i/>
          <w:sz w:val="24"/>
        </w:rPr>
        <w:t>государственной пошлины на 10,9 %.</w:t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Неналоговые доходы</w:t>
      </w:r>
      <w:r>
        <w:rPr>
          <w:rFonts w:ascii="Times New Roman" w:hAnsi="Times New Roman"/>
        </w:rPr>
        <w:t xml:space="preserve"> исполнены в сумме 15492,0 тыс. рублей или 100,1 % от годовых назначений. Поступление неналоговых доходов в 1 полугодии 2024 года сократилось  по сравнению с  1 полугодием 2023 года на -5699,8 тыс. рублей или 26,9%.</w:t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Структура   неналоговых доходов бюджета округа представлена в таблице №4.</w:t>
      </w:r>
    </w:p>
    <w:p>
      <w:pPr>
        <w:pStyle w:val="Style35"/>
        <w:ind w:left="0" w:right="0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Таблица №4 (тыс. руб.)</w:t>
      </w:r>
    </w:p>
    <w:tbl>
      <w:tblPr>
        <w:tblStyle w:val="Style_7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4"/>
        <w:gridCol w:w="2268"/>
        <w:gridCol w:w="2236"/>
      </w:tblGrid>
      <w:tr>
        <w:trPr/>
        <w:tc>
          <w:tcPr>
            <w:tcW w:w="563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Наименование дохода</w:t>
            </w:r>
          </w:p>
        </w:tc>
        <w:tc>
          <w:tcPr>
            <w:tcW w:w="2268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Исполнение </w:t>
            </w:r>
          </w:p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1 полугодие </w:t>
            </w:r>
          </w:p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2024 года</w:t>
            </w:r>
          </w:p>
        </w:tc>
        <w:tc>
          <w:tcPr>
            <w:tcW w:w="2236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Удельный вес в структуре неналоговых доходов (%)</w:t>
            </w:r>
          </w:p>
        </w:tc>
      </w:tr>
      <w:tr>
        <w:trPr/>
        <w:tc>
          <w:tcPr>
            <w:tcW w:w="563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2</w:t>
            </w:r>
          </w:p>
        </w:tc>
        <w:tc>
          <w:tcPr>
            <w:tcW w:w="2236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  <w:t>3</w:t>
            </w:r>
          </w:p>
        </w:tc>
      </w:tr>
      <w:tr>
        <w:trPr/>
        <w:tc>
          <w:tcPr>
            <w:tcW w:w="563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6614,2</w:t>
            </w:r>
          </w:p>
        </w:tc>
        <w:tc>
          <w:tcPr>
            <w:tcW w:w="2236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42,7</w:t>
            </w:r>
          </w:p>
        </w:tc>
      </w:tr>
      <w:tr>
        <w:trPr/>
        <w:tc>
          <w:tcPr>
            <w:tcW w:w="563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60,3</w:t>
            </w:r>
          </w:p>
        </w:tc>
        <w:tc>
          <w:tcPr>
            <w:tcW w:w="2236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0,4</w:t>
            </w:r>
          </w:p>
        </w:tc>
      </w:tr>
      <w:tr>
        <w:trPr/>
        <w:tc>
          <w:tcPr>
            <w:tcW w:w="563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1570,1</w:t>
            </w:r>
          </w:p>
        </w:tc>
        <w:tc>
          <w:tcPr>
            <w:tcW w:w="2236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10,1</w:t>
            </w:r>
          </w:p>
        </w:tc>
      </w:tr>
      <w:tr>
        <w:trPr/>
        <w:tc>
          <w:tcPr>
            <w:tcW w:w="563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Доходы от продажи  материальных и нематериальных активов</w:t>
            </w:r>
          </w:p>
        </w:tc>
        <w:tc>
          <w:tcPr>
            <w:tcW w:w="2268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6953,6</w:t>
            </w:r>
          </w:p>
        </w:tc>
        <w:tc>
          <w:tcPr>
            <w:tcW w:w="2236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44,9</w:t>
            </w:r>
          </w:p>
        </w:tc>
      </w:tr>
      <w:tr>
        <w:trPr/>
        <w:tc>
          <w:tcPr>
            <w:tcW w:w="563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293,8</w:t>
            </w:r>
          </w:p>
        </w:tc>
        <w:tc>
          <w:tcPr>
            <w:tcW w:w="2236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1,9</w:t>
            </w:r>
          </w:p>
        </w:tc>
      </w:tr>
      <w:tr>
        <w:trPr/>
        <w:tc>
          <w:tcPr>
            <w:tcW w:w="563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0,0</w:t>
            </w:r>
          </w:p>
        </w:tc>
        <w:tc>
          <w:tcPr>
            <w:tcW w:w="2236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Cs w:val="20"/>
              </w:rPr>
            </w:r>
          </w:p>
        </w:tc>
      </w:tr>
      <w:tr>
        <w:trPr/>
        <w:tc>
          <w:tcPr>
            <w:tcW w:w="5634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Cs w:val="20"/>
              </w:rPr>
              <w:t>Итого неналоговые доходы бюджета</w:t>
            </w:r>
          </w:p>
        </w:tc>
        <w:tc>
          <w:tcPr>
            <w:tcW w:w="2268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Cs w:val="20"/>
              </w:rPr>
              <w:t>15492,0</w:t>
            </w:r>
          </w:p>
        </w:tc>
        <w:tc>
          <w:tcPr>
            <w:tcW w:w="2236" w:type="dxa"/>
            <w:tcBorders/>
          </w:tcPr>
          <w:p>
            <w:pPr>
              <w:pStyle w:val="Style3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Cs w:val="20"/>
              </w:rPr>
              <w:t>100,0</w:t>
            </w:r>
          </w:p>
        </w:tc>
      </w:tr>
    </w:tbl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структуре неналоговых доходов бюджета округа в 1 полугодии 2024 года наибольший удельный вес в размере 44,9 %  занимают доходы от продажи материальных и нематериальных активов. Объем поступлений составил 6953,6 тыс. рублей. За аналогичный период прошлого года указанные доходы поступили в сумме 6270,7 тыс. рублей. Таким образом, по сравнению с 1 полугодием 2023 года поступление увеличилось на 682,9 тыс. рублей или  на 10,9%.</w:t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Доходы от использования имущества, находящегося в государственной и муниципальной собственности составили  6614,2 тыс. рублей, что составляет 87,3 % от плановых назначений. Доля доходов от использования имущества, находящегося в государственной и муниципальной собственности составила 42,7 %. За аналогичный период  прошлого года объем поступлений составил 11793,1тыс. рублей.  Таким образом, по сравнению с 1 полугодием 2023 года поступление указанных доходов сократилось на 5178,9 тыс. рублей. </w:t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Доходы от оказания платных услуг (работ) и компенсации затрат государства составили 1570,1 тыс. рублей, при  плановых назначениях в сумме 2062,0 тыс. рублей. В сравнении с аналогичным периодом прошлого года поступление дохода снизилось на 451,6 тыс. рублей. Удельный вес в структуре неналоговых доходов составили 10,1 %.</w:t>
      </w:r>
    </w:p>
    <w:p>
      <w:pPr>
        <w:pStyle w:val="Style35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Платежи при пользовании природными ресурсами составили 60,3 тыс. рублей, что  составило  13 % к годовым назначениям. По сравнению с 1 полугодием  2023 года поступления  снизились  на 533,8 тыс. рублей. Удельный вес в структуре неналоговых доходов составляет  0,4 %.</w:t>
      </w:r>
    </w:p>
    <w:p>
      <w:pPr>
        <w:pStyle w:val="Style35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Поступление доходов в виде штрафов, санкций и  возмещения ущерба составили 293,8 тыс. рублей, что  составляет 47,9 % от плановых назначений. Удельный вес в структуре неналоговых доходов составляет 1,9 %.  По сравнению с 1 полугодием  2023 года поступления по данному источнику снизились  на 16,8 тыс. рублей.</w:t>
      </w:r>
    </w:p>
    <w:p>
      <w:pPr>
        <w:pStyle w:val="Style35"/>
        <w:ind w:left="0" w:right="0" w:hanging="0"/>
        <w:rPr>
          <w:rFonts w:ascii="Times New Roman" w:hAnsi="Times New Roman"/>
          <w:i/>
          <w:i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i/>
        </w:rPr>
        <w:t>В ходе проведенного сравнительного анализа поступлений в бюджет неналоговых доходов в 1 полугодии 2024 года и  1 полугодии 2023 года установлено снижение  объема поступлений по всем видам неналоговых доходов, за исключением доходов от продажи материальных и нематериальных активов. В целом поступление неналоговых доходов в 1 полугодии 2024 года сократилось на 5699,8 тыс. рублей или 26,9% по сравнению с аналогичным периодом 2023 года.</w:t>
      </w:r>
    </w:p>
    <w:p>
      <w:pPr>
        <w:pStyle w:val="Style35"/>
        <w:ind w:left="0" w:right="0" w:hanging="0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Style42"/>
        <w:widowControl/>
        <w:spacing w:lineRule="auto" w:line="240"/>
        <w:ind w:left="0" w:right="0" w:hanging="0"/>
        <w:rPr/>
      </w:pPr>
      <w:r>
        <w:rPr/>
        <w:t xml:space="preserve">              </w:t>
      </w:r>
      <w:r>
        <w:rPr>
          <w:u w:val="single"/>
        </w:rPr>
        <w:t>Безвозмездные поступления</w:t>
      </w:r>
      <w:r>
        <w:rPr/>
        <w:t xml:space="preserve"> в  бюджет округа  за 1 полугодие 2024 года составили 376681,2 тыс. рублей  или 31,7 % к утвержденным годовым назначениям в сумме 1187287,0 тыс. рублей. По сравнению с 1 полугодием  2023  года объем безвозмездных поступлений в бюджет увеличился на 172247,8 тыс. рублей. </w:t>
      </w:r>
    </w:p>
    <w:p>
      <w:pPr>
        <w:pStyle w:val="Style42"/>
        <w:widowControl/>
        <w:spacing w:lineRule="auto" w:line="240"/>
        <w:ind w:left="0" w:right="0" w:firstLine="709"/>
        <w:rPr/>
      </w:pPr>
      <w:r>
        <w:rPr/>
        <w:t>В отчетном периоде дотации бюджетам субъекта РФ и муниципальных образований в 1 полугодии 2024 года составили 105070,2 тыс. рублей или 45,7 % от плановых назначений на год. Доля дотаций в общем объеме безвозмездных поступлений составила 27,9 % от фактического исполнения за 1 полугодие 2024 года. В сравнении с аналогичным периодом 2023 года  объем дотаций увеличился на 57157,2 тыс.руб или на 219,3 %.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rPr/>
      </w:pPr>
      <w:r>
        <w:rPr/>
        <w:t>Субсидии бюджетам субъекта РФ и муниципальных образований  в 1 полугодии 2024 года из областного бюджета  поступили в объеме 151274,1 тыс. рублей или 21,0 % от утвержденных плановых назначений. Доля субсидий  в общем объеме безвозмездных поступлений составила 40,2 % от фактического исполнения за 1 полугодие 2024 года. По сравнению с аналогичным периодом 2023 года по данному виду доходного источника наблюдается увеличение поступлений на 93305,8 тыс. рублей.</w:t>
      </w:r>
    </w:p>
    <w:p>
      <w:pPr>
        <w:pStyle w:val="Normal"/>
        <w:numPr>
          <w:ilvl w:val="0"/>
          <w:numId w:val="0"/>
        </w:numPr>
        <w:ind w:left="0" w:right="43" w:firstLine="709"/>
        <w:jc w:val="both"/>
        <w:rPr/>
      </w:pPr>
      <w:r>
        <w:rPr/>
        <w:t xml:space="preserve">Субвенции бюджетам РФ и муниципальных образований в отчетном периоде поступили в сумме 107217,3 тыс. рублей или 48,3 % к утвержденным назначениям. Доля субвенций  в общем объеме безвозмездных поступлений составила 28,5 % от фактического исполнения за 1 полугодие 2024 года. </w:t>
      </w:r>
    </w:p>
    <w:p>
      <w:pPr>
        <w:pStyle w:val="Normal"/>
        <w:numPr>
          <w:ilvl w:val="0"/>
          <w:numId w:val="0"/>
        </w:numPr>
        <w:ind w:left="0" w:right="43" w:firstLine="709"/>
        <w:jc w:val="both"/>
        <w:rPr/>
      </w:pPr>
      <w:r>
        <w:rPr/>
        <w:t xml:space="preserve">Иные межбюджетные трансферты  в 1 полугодии составили 11925,0 тыс. рублей при годовом плане 12447,0 тыс. рублей или 95,8% к утвержденным назначениям. </w:t>
      </w:r>
    </w:p>
    <w:p>
      <w:pPr>
        <w:pStyle w:val="Normal"/>
        <w:numPr>
          <w:ilvl w:val="0"/>
          <w:numId w:val="0"/>
        </w:numPr>
        <w:ind w:left="0" w:right="43" w:firstLine="709"/>
        <w:jc w:val="both"/>
        <w:rPr/>
      </w:pPr>
      <w:r>
        <w:rPr/>
        <w:t>. Безвозмездные поступления от негосударственных организаций в 1 полугодии составили 367,2 тыс. рублей при годовом плане 1144,3 тыс. рублей или 32,1% к утвержденным назначениям. За аналогичный период прошлого года   поступлений не было.</w:t>
      </w:r>
    </w:p>
    <w:p>
      <w:pPr>
        <w:pStyle w:val="Normal"/>
        <w:numPr>
          <w:ilvl w:val="0"/>
          <w:numId w:val="0"/>
        </w:numPr>
        <w:ind w:left="0" w:right="43" w:firstLine="709"/>
        <w:jc w:val="both"/>
        <w:rPr/>
      </w:pPr>
      <w:r>
        <w:rPr/>
        <w:t>Прочие безвозмездные поступления в 1 полугодии составили 827,4 тыс. рублей при годовом плане 1590,3 тыс. рублей или 52% к утвержденным назначениям. За аналогичный период прошлого года  поступление -150 тыс.рублей.</w:t>
      </w:r>
    </w:p>
    <w:p>
      <w:pPr>
        <w:pStyle w:val="Normal"/>
        <w:numPr>
          <w:ilvl w:val="0"/>
          <w:numId w:val="0"/>
        </w:numPr>
        <w:ind w:left="0" w:right="43" w:firstLine="709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43" w:firstLine="709"/>
        <w:jc w:val="both"/>
        <w:rPr>
          <w:i/>
          <w:i/>
        </w:rPr>
      </w:pPr>
      <w:r>
        <w:rPr>
          <w:i/>
        </w:rPr>
        <w:t>В ходе проведенного сравнительного анализа объема безвозмездных поступлений в бюджет в 1 полугодии 2024 года и 1 полугодии 2023 года установлено увеличение объема дотаций на 219,3 %, субсидий на  260 % субвенций на 108,7 %, .</w:t>
      </w:r>
    </w:p>
    <w:p>
      <w:pPr>
        <w:pStyle w:val="Normal"/>
        <w:numPr>
          <w:ilvl w:val="0"/>
          <w:numId w:val="0"/>
        </w:numPr>
        <w:ind w:left="0" w:right="43" w:firstLine="709"/>
        <w:jc w:val="both"/>
        <w:rPr>
          <w:i/>
          <w:i/>
        </w:rPr>
      </w:pPr>
      <w:r>
        <w:rPr>
          <w:i/>
        </w:rPr>
        <w:t>В целом объем безвозмездных поступлений в 1 полугодии 2024 года  увеличился на  172247,8 тыс. рублей или на 84,3% по сравнению с аналогичным периодом 2023 года.</w:t>
      </w:r>
    </w:p>
    <w:p>
      <w:pPr>
        <w:pStyle w:val="Normal"/>
        <w:numPr>
          <w:ilvl w:val="0"/>
          <w:numId w:val="0"/>
        </w:numPr>
        <w:ind w:left="0" w:right="43" w:hanging="0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numPr>
          <w:ilvl w:val="0"/>
          <w:numId w:val="0"/>
        </w:numPr>
        <w:ind w:left="0" w:right="43" w:firstLine="709"/>
        <w:jc w:val="both"/>
        <w:rPr>
          <w:b/>
          <w:i/>
          <w:i/>
        </w:rPr>
      </w:pPr>
      <w:r>
        <w:rPr>
          <w:b/>
          <w:i/>
        </w:rPr>
        <w:t>Таким образом в результате проведенного анализа исполнения бюджета округа по доходам установлено, что кассовый план по доходам за 1 полугодие 2024 года исполнен  на 35,7 %. Исполнение доходной части бюджета в 1 полугодии 2024 года обеспечено на 71,3 %  безвозмездными поступлениями и на 28,7 % собственными доходами. По сравнению с аналогичным периодом 2023 года поступления в доходную часть бюджета в отчетном периоде текущего года увеличились на 58,9%.</w:t>
      </w:r>
    </w:p>
    <w:p>
      <w:pPr>
        <w:pStyle w:val="Normal"/>
        <w:numPr>
          <w:ilvl w:val="0"/>
          <w:numId w:val="0"/>
        </w:numPr>
        <w:ind w:left="0" w:right="43" w:firstLine="709"/>
        <w:jc w:val="both"/>
        <w:rPr>
          <w:b/>
          <w:i/>
          <w:i/>
        </w:rPr>
      </w:pPr>
      <w:r>
        <w:rPr>
          <w:b/>
          <w:i/>
        </w:rPr>
      </w:r>
    </w:p>
    <w:p>
      <w:pPr>
        <w:pStyle w:val="Normal"/>
        <w:ind w:left="0" w:right="0" w:firstLine="709"/>
        <w:jc w:val="center"/>
        <w:rPr>
          <w:b/>
        </w:rPr>
      </w:pPr>
      <w:r>
        <w:rPr>
          <w:b/>
        </w:rPr>
        <w:t>Расходы бюджет округа</w:t>
      </w:r>
    </w:p>
    <w:p>
      <w:pPr>
        <w:pStyle w:val="Normal"/>
        <w:ind w:left="0" w:right="0" w:firstLine="709"/>
        <w:jc w:val="both"/>
        <w:rPr/>
      </w:pPr>
      <w:r>
        <w:rPr/>
        <w:t xml:space="preserve">За 1 полугодие 2024 года расходы бюджет округа исполнены  в сумме 480485,8 тыс. рублей, или 30,7 % к утвержденным годовым назначениям в сумме 1567131,7 тыс. рублей. </w:t>
      </w:r>
    </w:p>
    <w:p>
      <w:pPr>
        <w:pStyle w:val="Normal"/>
        <w:ind w:left="0" w:right="0" w:firstLine="709"/>
        <w:jc w:val="both"/>
        <w:rPr/>
      </w:pPr>
      <w:r>
        <w:rPr/>
        <w:t>Исполнение расходной части бюджет округа за 1 полугодие 2024 года по сравнению с аналогичным периодом 2023 года представлено в таблице №5.</w:t>
      </w:r>
    </w:p>
    <w:p>
      <w:pPr>
        <w:pStyle w:val="Normal"/>
        <w:jc w:val="right"/>
        <w:rPr/>
      </w:pPr>
      <w:r>
        <w:rPr/>
        <w:t>Таблица № 5 (тыс. руб.)</w:t>
      </w:r>
    </w:p>
    <w:tbl>
      <w:tblPr>
        <w:tblStyle w:val="Style_5"/>
        <w:tblW w:w="1048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993"/>
        <w:gridCol w:w="1134"/>
        <w:gridCol w:w="1134"/>
        <w:gridCol w:w="1417"/>
        <w:gridCol w:w="567"/>
        <w:gridCol w:w="1135"/>
        <w:gridCol w:w="848"/>
        <w:gridCol w:w="992"/>
      </w:tblGrid>
      <w:tr>
        <w:trPr>
          <w:trHeight w:val="1427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Исполнение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1 полугодие 2023 г.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(консолидированный бюджет)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Уточненный бюджетный план на 2024 год (сводная бюджетная роспись)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kern w:val="0"/>
                <w:sz w:val="16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-108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Исполнение</w:t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 полугод. 2024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% исполнения, гр.5/ гр.4)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Отклонение 1 полугод. 2024 г. от 1 полуг. 2023 г. (гр.5-гр.3)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Отношение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 полугод. 2024 г. к 1 полуг. 2023 г. (гр.5/гр.3)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Уд. вес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в расходах, %</w:t>
            </w:r>
          </w:p>
        </w:tc>
      </w:tr>
      <w:tr>
        <w:trPr>
          <w:trHeight w:val="136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9</w:t>
            </w:r>
          </w:p>
        </w:tc>
      </w:tr>
      <w:tr>
        <w:trPr>
          <w:trHeight w:val="238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47254,8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140191,1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51437,2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+4182,4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10,7</w:t>
            </w:r>
          </w:p>
        </w:tc>
      </w:tr>
      <w:tr>
        <w:trPr>
          <w:trHeight w:val="238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02 00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200,2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-25,7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Менее 0,1</w:t>
            </w:r>
          </w:p>
        </w:tc>
      </w:tr>
      <w:tr>
        <w:trPr>
          <w:trHeight w:val="477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03 00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35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1628,1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5914,3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2011,3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+383,2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0,4</w:t>
            </w:r>
          </w:p>
        </w:tc>
      </w:tr>
      <w:tr>
        <w:trPr>
          <w:trHeight w:val="277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04 00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18658,2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214508,5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60067,6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+41409,4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12,5</w:t>
            </w:r>
          </w:p>
        </w:tc>
      </w:tr>
      <w:tr>
        <w:trPr>
          <w:trHeight w:val="285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16521,9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297195,1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40031,5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+23509,6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8,3</w:t>
            </w:r>
          </w:p>
        </w:tc>
      </w:tr>
      <w:tr>
        <w:trPr>
          <w:trHeight w:val="262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06 00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81016,6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+30,1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 xml:space="preserve">Свыше 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Менее 0,1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07 00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190266,4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675292,8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268898,2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+78631,8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56,0</w:t>
            </w:r>
          </w:p>
        </w:tc>
      </w:tr>
      <w:tr>
        <w:trPr>
          <w:trHeight w:val="272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08 00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22199,3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73600,8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27846,9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+5647,6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5,8</w:t>
            </w:r>
          </w:p>
        </w:tc>
      </w:tr>
      <w:tr>
        <w:trPr>
          <w:trHeight w:val="300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Здравоохранение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09 00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1020,0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328,6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+61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0,1</w:t>
            </w:r>
          </w:p>
        </w:tc>
      </w:tr>
      <w:tr>
        <w:trPr>
          <w:trHeight w:val="253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10 00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4119,2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36433,5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19720,3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54,1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+15601,1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Свыше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4,1</w:t>
            </w:r>
          </w:p>
        </w:tc>
      </w:tr>
      <w:tr>
        <w:trPr>
          <w:trHeight w:val="271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5653,4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40458,7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9518,0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+3864,6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2,0</w:t>
            </w:r>
          </w:p>
        </w:tc>
      </w:tr>
      <w:tr>
        <w:trPr>
          <w:trHeight w:val="274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12 00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366,0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33,3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+16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0"/>
                <w:kern w:val="0"/>
                <w:sz w:val="18"/>
                <w:szCs w:val="20"/>
              </w:rPr>
              <w:t>0,1</w:t>
            </w:r>
          </w:p>
        </w:tc>
      </w:tr>
      <w:tr>
        <w:trPr>
          <w:trHeight w:val="186" w:hRule="atLeast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18"/>
                <w:szCs w:val="20"/>
              </w:rPr>
              <w:t>307174,7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18"/>
                <w:szCs w:val="20"/>
              </w:rPr>
              <w:t>1567131,7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175" w:hanging="0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18"/>
                <w:szCs w:val="20"/>
              </w:rPr>
              <w:t>480485,8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18"/>
                <w:szCs w:val="20"/>
              </w:rPr>
              <w:t>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18"/>
                <w:szCs w:val="20"/>
              </w:rPr>
              <w:t>173311,11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18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pacing w:val="0"/>
                <w:kern w:val="0"/>
                <w:sz w:val="18"/>
                <w:szCs w:val="20"/>
              </w:rPr>
              <w:t>100,0</w:t>
            </w:r>
          </w:p>
        </w:tc>
      </w:tr>
    </w:tbl>
    <w:p>
      <w:pPr>
        <w:pStyle w:val="Normal"/>
        <w:ind w:left="0" w:right="0" w:firstLine="709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709"/>
        <w:jc w:val="both"/>
        <w:rPr/>
      </w:pPr>
      <w:r>
        <w:rPr/>
        <w:t>За 1 полугодие 2024 года расходы бюджет округа исполнены в сумме  480485,8 тыс. рублей или на 30,7 % к годовым плановым назначениям (1 полугодие  2023 года исполнение  в сумме 307174,7 тыс. руб.).</w:t>
      </w:r>
    </w:p>
    <w:p>
      <w:pPr>
        <w:pStyle w:val="Normal"/>
        <w:ind w:left="0" w:right="0" w:firstLine="375"/>
        <w:jc w:val="left"/>
        <w:rPr/>
      </w:pPr>
      <w:r>
        <w:rPr/>
        <w:t xml:space="preserve">     </w:t>
      </w:r>
      <w:r>
        <w:rPr/>
        <w:t>Расходы   бюджета на  социальную сферу составили 326312 тыс. руб. или 67,9 % от общего объема расходов.                                                                                                                                         Основной удельный вес в составе произведенных расходов округа занимают расходы по разделу «Образование» - 56,0 %. За 1 полугодие 2024 года исполнение составило 268898,2 тыс. рублей или 39,8 % к утвержденным годовым назначениям. По сравнению с аналогичным периодом 2023 года расходы по данному разделу увеличились на 78631,8 тыс. рублей  или на 41,3 %.</w:t>
      </w:r>
    </w:p>
    <w:p>
      <w:pPr>
        <w:pStyle w:val="Normal"/>
        <w:ind w:left="0" w:right="0" w:firstLine="375"/>
        <w:jc w:val="both"/>
        <w:rPr>
          <w:color w:val="000000"/>
        </w:rPr>
      </w:pPr>
      <w:r>
        <w:rPr/>
        <w:t xml:space="preserve"> </w:t>
      </w:r>
      <w:r>
        <w:rPr/>
        <w:t>Исполнение расходов бюджет округа за 1 полугодие 2024 года осуществлялось по всем разделам бюджетной классификации.  Наибольший процент исполнения  составил  по разделам:</w:t>
      </w:r>
      <w:r>
        <w:rPr>
          <w:sz w:val="26"/>
        </w:rPr>
        <w:t xml:space="preserve"> </w:t>
      </w:r>
      <w:r>
        <w:rPr/>
        <w:t>«Социальная политика» -54,1 %, «Национальная оборона» - 50,0 %.</w:t>
      </w:r>
      <w:r>
        <w:rPr>
          <w:color w:val="000000"/>
        </w:rPr>
        <w:t xml:space="preserve"> </w:t>
      </w:r>
      <w:r>
        <w:rPr/>
        <w:t>Наименьшее исполнение бюджета округа за 1 полугодие  2024 года  составило по разделу: «Охрана окружающей среды» - 0,1%</w:t>
      </w:r>
      <w:r>
        <w:rPr>
          <w:color w:val="000000"/>
        </w:rPr>
        <w:t>.</w:t>
      </w:r>
    </w:p>
    <w:p>
      <w:pPr>
        <w:pStyle w:val="Normal"/>
        <w:ind w:left="0" w:right="0" w:firstLine="375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По сравнению с аналогичным периодом прошлого года в отчетном периоде расходы </w:t>
      </w:r>
      <w:r>
        <w:rPr>
          <w:i/>
          <w:color w:val="000000"/>
        </w:rPr>
        <w:t>увеличились</w:t>
      </w:r>
      <w:r>
        <w:rPr>
          <w:color w:val="000000"/>
        </w:rPr>
        <w:t xml:space="preserve"> по всем разделам,за исключением раздела «Национальная оборона».Наибольшее увеличение произошло по следующим разделам: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«Национальная безопасность и правоохранительная деятельность» на 969,9 тыс.рублей 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«Национальная экономика» на 47989,8 тыс. рублей;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«Жилищно-коммунальное хозяйство» на 39779,9 тыс. рублей;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«Образование» на 78631,8 тыс. рублей;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«Социальная политика» на 16387,2 тыс.рублей;</w:t>
      </w:r>
    </w:p>
    <w:p>
      <w:pPr>
        <w:pStyle w:val="Normal"/>
        <w:ind w:left="0" w:right="0" w:firstLine="708"/>
        <w:jc w:val="both"/>
        <w:rPr>
          <w:color w:val="000000"/>
          <w:sz w:val="26"/>
        </w:rPr>
      </w:pPr>
      <w:r>
        <w:rPr>
          <w:color w:val="000000"/>
          <w:sz w:val="26"/>
        </w:rPr>
      </w:r>
    </w:p>
    <w:p>
      <w:pPr>
        <w:pStyle w:val="Style32"/>
        <w:widowControl/>
        <w:ind w:left="0" w:right="0" w:firstLine="709"/>
        <w:jc w:val="center"/>
        <w:rPr/>
      </w:pPr>
      <w:r>
        <w:rPr>
          <w:b/>
        </w:rPr>
        <w:t>Дефицит бюджет округа</w:t>
      </w:r>
    </w:p>
    <w:p>
      <w:pPr>
        <w:pStyle w:val="Normal"/>
        <w:ind w:left="0" w:right="0" w:firstLine="708"/>
        <w:jc w:val="both"/>
        <w:rPr/>
      </w:pPr>
      <w:r>
        <w:rPr/>
        <w:t xml:space="preserve"> </w:t>
      </w:r>
      <w:r>
        <w:rPr/>
        <w:t>В соответствии с решением Представительного Собрания Кирилловского муниципального округа от 14.12.2023 № 85 «О бюджете Кирилловского муниципального округа на 2024 год и плановый период 2025 и 2026 годов» первоначально бюджет утвержден с  дефицитом 12105,3 тыс. рублей. С учетом изменений, произведенных в течение 1 полугодия 2024 года, размер дефицита установлен в сумме 86219,7 тыс. рублей.  Фактически за 1 полугодие 2024 года бюджет исполнен с профицитом в сумме 47621,2 тыс. рублей. За аналогичный период 2023 года бюджет исполнен с профицитом в сумме 25131,9 тыс. рублей.</w:t>
      </w:r>
    </w:p>
    <w:p>
      <w:pPr>
        <w:pStyle w:val="Normal"/>
        <w:ind w:left="0" w:right="0" w:firstLine="708"/>
        <w:jc w:val="both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ind w:left="0" w:right="0" w:firstLine="708"/>
        <w:jc w:val="both"/>
        <w:rPr>
          <w:b/>
        </w:rPr>
      </w:pPr>
      <w:r>
        <w:rPr>
          <w:b/>
        </w:rPr>
        <w:t>Выводы:</w:t>
      </w:r>
    </w:p>
    <w:p>
      <w:pPr>
        <w:pStyle w:val="Normal"/>
        <w:ind w:left="0" w:right="0" w:firstLine="708"/>
        <w:jc w:val="both"/>
        <w:rPr/>
      </w:pPr>
      <w:r>
        <w:rPr/>
        <w:t>1. В соответствии с п.4 ст. 264.1 Бюджетного кодекса РФ отчет об исполнении бюджета за 1 полугодие 2024 года содержит данные об исполнении бюджета по доходам, расходам и источникам финансирования бюджета в соответствии с бюджетной классификацией РФ.</w:t>
      </w:r>
    </w:p>
    <w:p>
      <w:pPr>
        <w:pStyle w:val="Normal"/>
        <w:ind w:left="0" w:right="0" w:firstLine="708"/>
        <w:jc w:val="both"/>
        <w:rPr/>
      </w:pPr>
      <w:r>
        <w:rPr/>
        <w:t>2. За 1 полугодие 2024 года бюджет исполнен по доходам на сумму 528107,0 тыс. рублей при годовом уточненном плане 1480912,0 тыс. рублей или на 35,7 %, в том числе:</w:t>
      </w:r>
    </w:p>
    <w:p>
      <w:pPr>
        <w:pStyle w:val="Normal"/>
        <w:jc w:val="both"/>
        <w:rPr/>
      </w:pPr>
      <w:r>
        <w:rPr/>
        <w:t>- налоговые и неналоговые доходы – 151425,8 тыс. рублей  или 51,6 % от годовых назначений;</w:t>
      </w:r>
    </w:p>
    <w:p>
      <w:pPr>
        <w:pStyle w:val="Normal"/>
        <w:jc w:val="both"/>
        <w:rPr/>
      </w:pPr>
      <w:r>
        <w:rPr/>
        <w:t>- безвозмездные поступления – 376681,2 тыс. рублей или 31,7 % от годовых назначений.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3. Исполнение доходной части бюджета округа в 1 полугодии 2024 года обеспечено  на 28,7 % собственными доходами и на 71,3 % безвозмездными поступлениями. По сравнению с аналогичным периодом прошлого года  поступления в доходную часть увеличились на 58,9 %.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>4. Расходная часть бюджета округа за 1 полугодие 2024 года исполнена в размере  480485,8 тыс. рублей или на 30,7 % от уточненного годового плана, составляющего 1567131,7 тыс. рублей. По сравнению с аналогичным периодом 2023 года расходная часть бюджета увеличилась на 56,4  %.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>5. Бюджет за 1 полугодие 2024 года исполнен с профицитом в размере 47621,2 тыс. рублей.</w:t>
      </w:r>
    </w:p>
    <w:p>
      <w:pPr>
        <w:pStyle w:val="Normal"/>
        <w:tabs>
          <w:tab w:val="clear" w:pos="708"/>
          <w:tab w:val="left" w:pos="720" w:leader="none"/>
        </w:tabs>
        <w:ind w:left="0" w:right="0" w:firstLine="709"/>
        <w:jc w:val="both"/>
        <w:rPr/>
      </w:pPr>
      <w:r>
        <w:rPr/>
        <w:t xml:space="preserve">Заключение на отчет об исполнении районного бюджета за 1 полугодие 2024 года подготовлено в соответствии с Положением «О бюджетном процессе в Кирилловском муниципальном округе Вологодской области». </w:t>
      </w:r>
      <w:r>
        <w:rPr>
          <w:b/>
        </w:rPr>
        <w:t xml:space="preserve"> </w:t>
      </w:r>
      <w:r>
        <w:rPr/>
        <w:t xml:space="preserve">Отчет об исполнении бюджета за 1полугодие  2024 года утвержден постановлением администрации Кирилловского муниципального округа от 11.07.2024 № 1071 и представлен в контрольно-счетный комитет в установленный срок.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</w:t>
      </w:r>
      <w:r>
        <w:rPr>
          <w:b/>
        </w:rPr>
        <w:t xml:space="preserve">   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  <w:t>Председатель контрольно-счетного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  <w:t>комитета округа                                                                                                                 Н.А.Петрова</w:t>
      </w:r>
    </w:p>
    <w:sectPr>
      <w:footnotePr>
        <w:numFmt w:val="decimal"/>
      </w:footnotePr>
      <w:type w:val="nextPage"/>
      <w:pgSz w:w="11906" w:h="16838"/>
      <w:pgMar w:left="1418" w:right="566" w:gutter="0" w:header="0" w:top="1134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Далее по тексту -  контрольно-счетный комитет округа;</w:t>
      </w:r>
    </w:p>
  </w:footnote>
  <w:footnote w:id="3">
    <w:p>
      <w:pPr>
        <w:pStyle w:val="Footnote1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далее по тексту – Положение  «О бюджетном процессе в Кирилловском муниципальном округе».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Style9">
    <w:name w:val="Символ концевой сноски"/>
    <w:link w:val="Style23"/>
    <w:qFormat/>
    <w:rPr>
      <w:vertAlign w:val="superscript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Style41">
    <w:name w:val="Style4"/>
    <w:link w:val="Style42"/>
    <w:qFormat/>
    <w:rPr/>
  </w:style>
  <w:style w:type="character" w:styleId="Style10">
    <w:name w:val="Указатель"/>
    <w:link w:val="Style22"/>
    <w:qFormat/>
    <w:rPr>
      <w:rFonts w:ascii="PT Astra Serif" w:hAnsi="PT Astra Serif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Style11">
    <w:name w:val="Содержимое таблицы"/>
    <w:link w:val="Style24"/>
    <w:qFormat/>
    <w:rPr/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Style12">
    <w:name w:val="Символ сноски"/>
    <w:basedOn w:val="DefaultParagraphFont"/>
    <w:link w:val="Style25"/>
    <w:qFormat/>
    <w:rPr>
      <w:vertAlign w:val="superscript"/>
    </w:rPr>
  </w:style>
  <w:style w:type="character" w:styleId="ListBullet">
    <w:name w:val="List Bullet"/>
    <w:link w:val="ListBullet1"/>
    <w:qFormat/>
    <w:rPr/>
  </w:style>
  <w:style w:type="character" w:styleId="Style31">
    <w:name w:val="Style3"/>
    <w:link w:val="Style32"/>
    <w:qFormat/>
    <w:rPr/>
  </w:style>
  <w:style w:type="character" w:styleId="Textbody">
    <w:name w:val="Text body"/>
    <w:link w:val="Textbody1"/>
    <w:qFormat/>
    <w:rPr/>
  </w:style>
  <w:style w:type="character" w:styleId="Style13">
    <w:name w:val="Footnote Reference"/>
    <w:rPr>
      <w:vertAlign w:val="superscript"/>
    </w:rPr>
  </w:style>
  <w:style w:type="character" w:styleId="Footnote">
    <w:name w:val="Footnote"/>
    <w:link w:val="Footnote1"/>
    <w:qFormat/>
    <w:rPr>
      <w:sz w:val="20"/>
    </w:rPr>
  </w:style>
  <w:style w:type="character" w:styleId="Style14">
    <w:name w:val="Endnote Reference"/>
    <w:rPr>
      <w:vertAlign w:val="superscript"/>
    </w:rPr>
  </w:style>
  <w:style w:type="character" w:styleId="FontStyle22">
    <w:name w:val="Font Style22"/>
    <w:link w:val="FontStyle221"/>
    <w:qFormat/>
    <w:rPr>
      <w:rFonts w:ascii="Times New Roman" w:hAnsi="Times New Roman"/>
      <w:color w:val="000000"/>
      <w:spacing w:val="0"/>
      <w:sz w:val="24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Style15">
    <w:name w:val="Колонтитул"/>
    <w:link w:val="Style28"/>
    <w:qFormat/>
    <w:rPr>
      <w:rFonts w:ascii="XO Thames" w:hAnsi="XO Thames"/>
      <w:color w:val="000000"/>
      <w:spacing w:val="0"/>
      <w:sz w:val="28"/>
    </w:rPr>
  </w:style>
  <w:style w:type="character" w:styleId="Header">
    <w:name w:val="Header"/>
    <w:qFormat/>
    <w:rPr/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Footer">
    <w:name w:val="Footer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Paragraph">
    <w:name w:val="List Paragraph"/>
    <w:link w:val="ListParagraph1"/>
    <w:qFormat/>
    <w:rPr/>
  </w:style>
  <w:style w:type="character" w:styleId="-">
    <w:name w:val="Hyperlink"/>
    <w:rPr>
      <w:color w:val="0000FF"/>
      <w:u w:val="single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FootnoteSymbol">
    <w:name w:val="Footnote Symbol"/>
    <w:basedOn w:val="DefaultParagraphFont"/>
    <w:link w:val="FootnoteSymbol1"/>
    <w:qFormat/>
    <w:rPr>
      <w:vertAlign w:val="superscript"/>
    </w:rPr>
  </w:style>
  <w:style w:type="character" w:styleId="11">
    <w:name w:val="Основной текст с отступом Знак1"/>
    <w:basedOn w:val="DefaultParagraphFont"/>
    <w:link w:val="13"/>
    <w:qFormat/>
    <w:rPr>
      <w:rFonts w:ascii="Times New Roman" w:hAnsi="Times New Roman"/>
      <w:sz w:val="24"/>
    </w:rPr>
  </w:style>
  <w:style w:type="character" w:styleId="Style16">
    <w:name w:val="Заголовок"/>
    <w:link w:val="Style18"/>
    <w:qFormat/>
    <w:rPr>
      <w:rFonts w:ascii="PT Astra Serif" w:hAnsi="PT Astra Serif"/>
      <w:sz w:val="28"/>
    </w:rPr>
  </w:style>
  <w:style w:type="character" w:styleId="Textbodyindent">
    <w:name w:val="Text body indent"/>
    <w:link w:val="Textbodyindent1"/>
    <w:qFormat/>
    <w:rPr>
      <w:rFonts w:ascii="Calibri" w:hAnsi="Calibri" w:asciiTheme="minorAscii" w:hAnsiTheme="minorHAnsi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FontStyle12">
    <w:name w:val="Font Style12"/>
    <w:link w:val="FontStyle121"/>
    <w:qFormat/>
    <w:rPr>
      <w:rFonts w:ascii="Times New Roman" w:hAnsi="Times New Roman"/>
      <w:color w:val="000000"/>
      <w:spacing w:val="0"/>
      <w:sz w:val="22"/>
    </w:rPr>
  </w:style>
  <w:style w:type="character" w:styleId="EndnoteSymbol">
    <w:name w:val="Endnote Symbol"/>
    <w:link w:val="EndnoteSymbol1"/>
    <w:qFormat/>
    <w:rPr>
      <w:rFonts w:ascii="Calibri" w:hAnsi="Calibri" w:asciiTheme="minorAscii" w:hAnsiTheme="minorHAnsi"/>
      <w:color w:val="000000"/>
      <w:spacing w:val="0"/>
      <w:sz w:val="22"/>
      <w:vertAlign w:val="superscript"/>
    </w:rPr>
  </w:style>
  <w:style w:type="character" w:styleId="Caption1">
    <w:name w:val="caption"/>
    <w:link w:val="Caption2"/>
    <w:qFormat/>
    <w:rPr>
      <w:b/>
      <w:sz w:val="20"/>
    </w:rPr>
  </w:style>
  <w:style w:type="character" w:styleId="Style17">
    <w:name w:val="Заголовок таблицы"/>
    <w:basedOn w:val="Style11"/>
    <w:link w:val="Style34"/>
    <w:qFormat/>
    <w:rPr>
      <w:b/>
    </w:rPr>
  </w:style>
  <w:style w:type="character" w:styleId="Style81">
    <w:name w:val="Style8"/>
    <w:link w:val="Style82"/>
    <w:qFormat/>
    <w:rPr/>
  </w:style>
  <w:style w:type="paragraph" w:styleId="Style18">
    <w:name w:val="Заголовок"/>
    <w:basedOn w:val="Normal"/>
    <w:next w:val="Style19"/>
    <w:link w:val="Style16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1"/>
    <w:pPr/>
    <w:rPr>
      <w:rFonts w:ascii="PT Astra Serif" w:hAnsi="PT Astra Serif"/>
    </w:rPr>
  </w:style>
  <w:style w:type="paragraph" w:styleId="Style21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22">
    <w:name w:val="Указатель"/>
    <w:basedOn w:val="Normal"/>
    <w:link w:val="Style10"/>
    <w:qFormat/>
    <w:pPr/>
    <w:rPr>
      <w:rFonts w:ascii="PT Astra Serif" w:hAnsi="PT Astra Serif"/>
    </w:rPr>
  </w:style>
  <w:style w:type="paragraph" w:styleId="21">
    <w:name w:val="TOC 2"/>
    <w:next w:val="Normal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Символ концевой сноски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2">
    <w:name w:val="Style4"/>
    <w:basedOn w:val="Normal"/>
    <w:link w:val="Style41"/>
    <w:qFormat/>
    <w:pPr>
      <w:widowControl w:val="false"/>
      <w:spacing w:lineRule="exact" w:line="274"/>
      <w:ind w:left="0" w:right="0" w:firstLine="715"/>
      <w:jc w:val="both"/>
    </w:pPr>
    <w:rPr/>
  </w:style>
  <w:style w:type="paragraph" w:styleId="Style24">
    <w:name w:val="Содержимое таблицы"/>
    <w:basedOn w:val="Normal"/>
    <w:link w:val="Style11"/>
    <w:qFormat/>
    <w:pPr>
      <w:widowControl w:val="false"/>
    </w:pPr>
    <w:rPr/>
  </w:style>
  <w:style w:type="paragraph" w:styleId="Endnote1">
    <w:name w:val="Endnote"/>
    <w:link w:val="End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Символ сноски"/>
    <w:basedOn w:val="DefaultParagraphFont1"/>
    <w:link w:val="Style12"/>
    <w:qFormat/>
    <w:pPr/>
    <w:rPr>
      <w:vertAlign w:val="superscript"/>
    </w:rPr>
  </w:style>
  <w:style w:type="paragraph" w:styleId="ListBullet1">
    <w:name w:val="List Bullet"/>
    <w:basedOn w:val="Normal"/>
    <w:link w:val="ListBullet"/>
    <w:qFormat/>
    <w:pPr>
      <w:numPr>
        <w:ilvl w:val="0"/>
        <w:numId w:val="1"/>
      </w:numPr>
      <w:spacing w:before="0" w:after="0"/>
      <w:contextualSpacing/>
    </w:pPr>
    <w:rPr/>
  </w:style>
  <w:style w:type="paragraph" w:styleId="Style32">
    <w:name w:val="Style3"/>
    <w:basedOn w:val="Normal"/>
    <w:link w:val="Style31"/>
    <w:qFormat/>
    <w:pPr>
      <w:widowControl w:val="false"/>
    </w:pPr>
    <w:rPr/>
  </w:style>
  <w:style w:type="paragraph" w:styleId="FootnoteSymbol1">
    <w:name w:val="Footnote Symbol"/>
    <w:basedOn w:val="DefaultParagraphFont1"/>
    <w:link w:val="FootnoteSymbol"/>
    <w:qFormat/>
    <w:pPr/>
    <w:rPr>
      <w:vertAlign w:val="superscript"/>
    </w:rPr>
  </w:style>
  <w:style w:type="paragraph" w:styleId="Style26">
    <w:name w:val="Footnote Text"/>
    <w:basedOn w:val="Normal"/>
    <w:pPr/>
    <w:rPr/>
  </w:style>
  <w:style w:type="paragraph" w:styleId="EndnoteSymbol1">
    <w:name w:val="Endnote Symbol"/>
    <w:link w:val="EndnoteSymbo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FontStyle221">
    <w:name w:val="Font Style22"/>
    <w:link w:val="FontStyle22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tyle27">
    <w:name w:val="Title"/>
    <w:next w:val="Normal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Колонтитул"/>
    <w:link w:val="Style1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Header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0">
    <w:name w:val="Footer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Footnote1">
    <w:name w:val="Footnote"/>
    <w:basedOn w:val="Normal"/>
    <w:link w:val="Footnote"/>
    <w:qFormat/>
    <w:pPr/>
    <w:rPr>
      <w:sz w:val="20"/>
    </w:rPr>
  </w:style>
  <w:style w:type="paragraph" w:styleId="12">
    <w:name w:val="TOC 1"/>
    <w:next w:val="Normal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Основной текст с отступом Знак1"/>
    <w:basedOn w:val="DefaultParagraphFont1"/>
    <w:link w:val="11"/>
    <w:qFormat/>
    <w:pPr/>
    <w:rPr>
      <w:rFonts w:ascii="Times New Roman" w:hAnsi="Times New Roman"/>
      <w:sz w:val="24"/>
    </w:rPr>
  </w:style>
  <w:style w:type="paragraph" w:styleId="Textbodyindent1">
    <w:name w:val="Text body indent"/>
    <w:link w:val="Textbodyinde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3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51">
    <w:name w:val="TOC 5"/>
    <w:next w:val="Normal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121">
    <w:name w:val="Font Style12"/>
    <w:link w:val="FontStyle12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">
    <w:name w:val="caption"/>
    <w:basedOn w:val="Normal"/>
    <w:next w:val="Normal"/>
    <w:link w:val="Caption1"/>
    <w:qFormat/>
    <w:pPr>
      <w:spacing w:before="120" w:after="120"/>
    </w:pPr>
    <w:rPr>
      <w:b/>
      <w:sz w:val="20"/>
    </w:rPr>
  </w:style>
  <w:style w:type="paragraph" w:styleId="Style34">
    <w:name w:val="Заголовок таблицы"/>
    <w:basedOn w:val="Style24"/>
    <w:link w:val="Style17"/>
    <w:qFormat/>
    <w:pPr>
      <w:jc w:val="center"/>
    </w:pPr>
    <w:rPr>
      <w:b/>
    </w:rPr>
  </w:style>
  <w:style w:type="paragraph" w:styleId="Style35">
    <w:name w:val="Body Text Indent"/>
    <w:basedOn w:val="Normal"/>
    <w:pPr>
      <w:ind w:left="0" w:right="0" w:firstLine="567"/>
      <w:jc w:val="both"/>
    </w:pPr>
    <w:rPr>
      <w:rFonts w:ascii="Calibri" w:hAnsi="Calibri" w:asciiTheme="minorAscii" w:hAnsiTheme="minorHAnsi"/>
    </w:rPr>
  </w:style>
  <w:style w:type="paragraph" w:styleId="Style82">
    <w:name w:val="Style8"/>
    <w:basedOn w:val="Normal"/>
    <w:link w:val="Style81"/>
    <w:qFormat/>
    <w:pPr>
      <w:widowControl w:val="false"/>
      <w:spacing w:lineRule="exact" w:line="303"/>
      <w:ind w:left="0" w:right="0" w:firstLine="715"/>
      <w:jc w:val="both"/>
    </w:pPr>
    <w:rPr/>
  </w:style>
  <w:style w:type="table" w:default="1" w:styleId="Style_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7">
    <w:name w:val="Table Grid"/>
    <w:basedOn w:val="Style_5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  <w:insideV w:val="single" w:themeColor="text1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9</Pages>
  <Words>3564</Words>
  <Characters>21209</Characters>
  <CharactersWithSpaces>24858</CharactersWithSpaces>
  <Paragraphs>670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2024-07-29T11:59:06Z</cp:lastPrinted>
  <dcterms:modified xsi:type="dcterms:W3CDTF">2024-07-29T12:00:39Z</dcterms:modified>
  <cp:revision>1</cp:revision>
  <dc:subject/>
  <dc:title/>
</cp:coreProperties>
</file>