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22.12</w:t>
      </w:r>
      <w:r w:rsidR="000A0A46" w:rsidRPr="00F64E94">
        <w:rPr>
          <w:b/>
          <w:sz w:val="24"/>
          <w:szCs w:val="24"/>
        </w:rPr>
        <w:t>.20</w:t>
      </w:r>
      <w:r w:rsidR="00C24278">
        <w:rPr>
          <w:b/>
          <w:sz w:val="24"/>
          <w:szCs w:val="24"/>
        </w:rPr>
        <w:t>20</w:t>
      </w:r>
      <w:r w:rsidR="000A0A46" w:rsidRPr="00F64E94">
        <w:rPr>
          <w:b/>
          <w:sz w:val="24"/>
          <w:szCs w:val="24"/>
        </w:rPr>
        <w:t xml:space="preserve"> №</w:t>
      </w:r>
      <w:r w:rsidR="003E1F73">
        <w:rPr>
          <w:b/>
          <w:sz w:val="24"/>
          <w:szCs w:val="24"/>
        </w:rPr>
        <w:t xml:space="preserve">30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 xml:space="preserve">в соответствии с заключенным Соглашением на 2021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DF62FE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DF62FE">
        <w:rPr>
          <w:sz w:val="24"/>
          <w:szCs w:val="24"/>
        </w:rPr>
        <w:t>3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>1</w:t>
      </w:r>
      <w:r w:rsidRPr="00BE3E08">
        <w:rPr>
          <w:sz w:val="24"/>
          <w:szCs w:val="24"/>
        </w:rPr>
        <w:t xml:space="preserve"> год и плановый период 202</w:t>
      </w:r>
      <w:r w:rsidR="00BA7FB6" w:rsidRPr="00BE3E08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и 202</w:t>
      </w:r>
      <w:r w:rsidR="00BA7FB6" w:rsidRPr="00BE3E08">
        <w:rPr>
          <w:sz w:val="24"/>
          <w:szCs w:val="24"/>
        </w:rPr>
        <w:t>3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0</w:t>
      </w:r>
      <w:r w:rsidR="00DF62FE">
        <w:rPr>
          <w:sz w:val="24"/>
          <w:szCs w:val="24"/>
        </w:rPr>
        <w:t>8</w:t>
      </w:r>
      <w:r w:rsidR="00BA7FB6" w:rsidRPr="00BE3E08">
        <w:rPr>
          <w:sz w:val="24"/>
          <w:szCs w:val="24"/>
        </w:rPr>
        <w:t>.02.2021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>п.</w:t>
      </w:r>
      <w:r w:rsidR="000469BE">
        <w:rPr>
          <w:sz w:val="24"/>
          <w:szCs w:val="24"/>
        </w:rPr>
        <w:t>6</w:t>
      </w:r>
      <w:r w:rsidR="003237AE" w:rsidRPr="00BE3E08">
        <w:rPr>
          <w:sz w:val="24"/>
          <w:szCs w:val="24"/>
        </w:rPr>
        <w:t>.</w:t>
      </w:r>
      <w:r w:rsidR="000469BE">
        <w:rPr>
          <w:sz w:val="24"/>
          <w:szCs w:val="24"/>
        </w:rPr>
        <w:t>2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3237AE" w:rsidRPr="00BE3E08">
        <w:rPr>
          <w:sz w:val="24"/>
          <w:szCs w:val="24"/>
        </w:rPr>
        <w:t>я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 xml:space="preserve">и (от </w:t>
      </w:r>
      <w:r w:rsidR="000469BE">
        <w:rPr>
          <w:sz w:val="24"/>
          <w:szCs w:val="24"/>
        </w:rPr>
        <w:t>25.12.2017</w:t>
      </w:r>
      <w:r w:rsidR="003237AE" w:rsidRPr="00BE3E08">
        <w:rPr>
          <w:sz w:val="24"/>
          <w:szCs w:val="24"/>
        </w:rPr>
        <w:t xml:space="preserve"> №</w:t>
      </w:r>
      <w:r w:rsidR="00FA02D5">
        <w:rPr>
          <w:sz w:val="24"/>
          <w:szCs w:val="24"/>
        </w:rPr>
        <w:t>2</w:t>
      </w:r>
      <w:r w:rsidR="000469BE">
        <w:rPr>
          <w:sz w:val="24"/>
          <w:szCs w:val="24"/>
        </w:rPr>
        <w:t>9</w:t>
      </w:r>
      <w:r w:rsidR="003237AE" w:rsidRPr="00BE3E08">
        <w:rPr>
          <w:sz w:val="24"/>
          <w:szCs w:val="24"/>
        </w:rPr>
        <w:t>)</w:t>
      </w:r>
      <w:r w:rsidRPr="00BE3E08">
        <w:rPr>
          <w:sz w:val="24"/>
          <w:szCs w:val="24"/>
        </w:rPr>
        <w:t>.</w:t>
      </w:r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5E39DC" w:rsidRPr="00164945" w:rsidRDefault="000A0A46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BE3E08">
        <w:rPr>
          <w:sz w:val="24"/>
          <w:szCs w:val="24"/>
        </w:rPr>
        <w:t>Изменению подлежит текстовая часть решения</w:t>
      </w:r>
      <w:r w:rsidRPr="00164945">
        <w:rPr>
          <w:sz w:val="24"/>
          <w:szCs w:val="24"/>
        </w:rPr>
        <w:t xml:space="preserve"> в отношении основных характеристик бюджета на 20</w:t>
      </w:r>
      <w:r w:rsidR="00D01A04" w:rsidRPr="00164945">
        <w:rPr>
          <w:sz w:val="24"/>
          <w:szCs w:val="24"/>
        </w:rPr>
        <w:t>2</w:t>
      </w:r>
      <w:r w:rsidR="006A4052" w:rsidRPr="00164945">
        <w:rPr>
          <w:sz w:val="24"/>
          <w:szCs w:val="24"/>
        </w:rPr>
        <w:t>1</w:t>
      </w:r>
      <w:r w:rsidR="00CF397C">
        <w:rPr>
          <w:sz w:val="24"/>
          <w:szCs w:val="24"/>
        </w:rPr>
        <w:t xml:space="preserve"> год</w:t>
      </w:r>
      <w:r w:rsidR="000F7D54">
        <w:rPr>
          <w:sz w:val="24"/>
          <w:szCs w:val="24"/>
        </w:rPr>
        <w:t>.</w:t>
      </w:r>
      <w:r w:rsidR="000F7D54" w:rsidRPr="00164945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</w:t>
      </w:r>
      <w:r w:rsidR="00032A3B">
        <w:rPr>
          <w:rFonts w:eastAsiaTheme="minorEastAsia"/>
          <w:sz w:val="24"/>
          <w:szCs w:val="24"/>
        </w:rPr>
        <w:t>674,0</w:t>
      </w:r>
      <w:r w:rsidR="000F7D54" w:rsidRPr="00164945">
        <w:rPr>
          <w:rFonts w:eastAsiaTheme="minorEastAsia"/>
          <w:sz w:val="24"/>
          <w:szCs w:val="24"/>
        </w:rPr>
        <w:t xml:space="preserve"> тыс. рублей</w:t>
      </w:r>
      <w:r w:rsidR="000F7D54">
        <w:rPr>
          <w:rFonts w:eastAsiaTheme="minorEastAsia"/>
          <w:sz w:val="24"/>
          <w:szCs w:val="24"/>
        </w:rPr>
        <w:t>.</w:t>
      </w:r>
      <w:r w:rsidR="000F7D54" w:rsidRPr="00164945">
        <w:rPr>
          <w:rFonts w:eastAsiaTheme="minorEastAsia"/>
          <w:sz w:val="24"/>
          <w:szCs w:val="24"/>
        </w:rPr>
        <w:t xml:space="preserve"> </w:t>
      </w:r>
      <w:r w:rsidR="00FE13E3">
        <w:rPr>
          <w:sz w:val="24"/>
          <w:szCs w:val="24"/>
        </w:rPr>
        <w:t xml:space="preserve">Соответственно предлагается скорректировать </w:t>
      </w:r>
      <w:r w:rsidR="00FE13E3" w:rsidRPr="00164945">
        <w:rPr>
          <w:sz w:val="24"/>
          <w:szCs w:val="24"/>
        </w:rPr>
        <w:t xml:space="preserve">данные приложений к решению о бюджете в отношении сумм доходов и расходов бюджета на 2021 год. </w:t>
      </w:r>
      <w:r w:rsidR="00FE13E3">
        <w:rPr>
          <w:rFonts w:eastAsiaTheme="minorEastAsia"/>
          <w:sz w:val="24"/>
          <w:szCs w:val="24"/>
        </w:rPr>
        <w:t>Б</w:t>
      </w:r>
      <w:r w:rsidR="00CF397C">
        <w:rPr>
          <w:sz w:val="24"/>
          <w:szCs w:val="24"/>
        </w:rPr>
        <w:t>юджетные ассигнования на плановый период</w:t>
      </w:r>
      <w:r w:rsidR="006A4052" w:rsidRPr="00164945">
        <w:rPr>
          <w:sz w:val="24"/>
          <w:szCs w:val="24"/>
        </w:rPr>
        <w:t xml:space="preserve"> 2022 и 2023</w:t>
      </w:r>
      <w:r w:rsidRPr="00164945">
        <w:rPr>
          <w:sz w:val="24"/>
          <w:szCs w:val="24"/>
        </w:rPr>
        <w:t xml:space="preserve"> год</w:t>
      </w:r>
      <w:r w:rsidR="00CF397C">
        <w:rPr>
          <w:sz w:val="24"/>
          <w:szCs w:val="24"/>
        </w:rPr>
        <w:t>ов изменению не подлежат</w:t>
      </w:r>
      <w:r w:rsidR="00C60198">
        <w:rPr>
          <w:sz w:val="24"/>
          <w:szCs w:val="24"/>
        </w:rPr>
        <w:t>.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</w:t>
      </w:r>
      <w:r w:rsidR="00032A3B">
        <w:rPr>
          <w:sz w:val="24"/>
          <w:szCs w:val="24"/>
        </w:rPr>
        <w:t>решения</w:t>
      </w:r>
      <w:r w:rsidRPr="00164945">
        <w:rPr>
          <w:sz w:val="24"/>
          <w:szCs w:val="24"/>
        </w:rPr>
        <w:t xml:space="preserve"> на предмет их соответствия вышеуказанным критериям.</w:t>
      </w:r>
      <w:r w:rsidR="00B44E5A">
        <w:rPr>
          <w:sz w:val="24"/>
          <w:szCs w:val="24"/>
        </w:rPr>
        <w:t xml:space="preserve"> </w:t>
      </w:r>
      <w:r w:rsidR="005A5BED" w:rsidRPr="00164945">
        <w:rPr>
          <w:sz w:val="24"/>
          <w:szCs w:val="24"/>
        </w:rPr>
        <w:t>И</w:t>
      </w:r>
      <w:r w:rsidR="005E39DC" w:rsidRPr="00164945">
        <w:rPr>
          <w:sz w:val="24"/>
          <w:szCs w:val="24"/>
        </w:rPr>
        <w:t>зменения в решение о бюджете</w:t>
      </w:r>
      <w:r w:rsidR="00032A3B">
        <w:rPr>
          <w:sz w:val="24"/>
          <w:szCs w:val="24"/>
        </w:rPr>
        <w:t xml:space="preserve"> сельского</w:t>
      </w:r>
      <w:r w:rsidR="005E39DC" w:rsidRPr="00164945">
        <w:rPr>
          <w:sz w:val="24"/>
          <w:szCs w:val="24"/>
        </w:rPr>
        <w:t xml:space="preserve"> поселения</w:t>
      </w:r>
      <w:r w:rsidR="00AB3C5C" w:rsidRPr="00164945">
        <w:rPr>
          <w:sz w:val="24"/>
          <w:szCs w:val="24"/>
        </w:rPr>
        <w:t xml:space="preserve"> </w:t>
      </w:r>
      <w:r w:rsidR="002A074A">
        <w:rPr>
          <w:sz w:val="24"/>
          <w:szCs w:val="24"/>
        </w:rPr>
        <w:t>Ферапонтовское</w:t>
      </w:r>
      <w:r w:rsidR="00B44E5A" w:rsidRPr="00164945">
        <w:rPr>
          <w:sz w:val="24"/>
          <w:szCs w:val="24"/>
        </w:rPr>
        <w:t xml:space="preserve"> </w:t>
      </w:r>
      <w:r w:rsidR="005E39DC" w:rsidRPr="00164945">
        <w:rPr>
          <w:sz w:val="24"/>
          <w:szCs w:val="24"/>
        </w:rPr>
        <w:t>на 202</w:t>
      </w:r>
      <w:r w:rsidR="004C1A6A" w:rsidRPr="00164945">
        <w:rPr>
          <w:sz w:val="24"/>
          <w:szCs w:val="24"/>
        </w:rPr>
        <w:t>1</w:t>
      </w:r>
      <w:r w:rsidR="005E39DC" w:rsidRPr="00164945">
        <w:rPr>
          <w:sz w:val="24"/>
          <w:szCs w:val="24"/>
        </w:rPr>
        <w:t xml:space="preserve"> год и плановый период 202</w:t>
      </w:r>
      <w:r w:rsidR="004C1A6A" w:rsidRPr="00164945">
        <w:rPr>
          <w:sz w:val="24"/>
          <w:szCs w:val="24"/>
        </w:rPr>
        <w:t>2</w:t>
      </w:r>
      <w:r w:rsidR="005E39DC" w:rsidRPr="00164945">
        <w:rPr>
          <w:sz w:val="24"/>
          <w:szCs w:val="24"/>
        </w:rPr>
        <w:t>-202</w:t>
      </w:r>
      <w:r w:rsidR="004C1A6A" w:rsidRPr="00164945">
        <w:rPr>
          <w:sz w:val="24"/>
          <w:szCs w:val="24"/>
        </w:rPr>
        <w:t>3</w:t>
      </w:r>
      <w:r w:rsidR="005E39DC" w:rsidRPr="00164945">
        <w:rPr>
          <w:sz w:val="24"/>
          <w:szCs w:val="24"/>
        </w:rPr>
        <w:t xml:space="preserve"> годов вносятся </w:t>
      </w:r>
      <w:r w:rsidR="008438FA" w:rsidRPr="00164945">
        <w:rPr>
          <w:b/>
          <w:sz w:val="24"/>
          <w:szCs w:val="24"/>
        </w:rPr>
        <w:t>п</w:t>
      </w:r>
      <w:r w:rsidR="004C1A6A" w:rsidRPr="00164945">
        <w:rPr>
          <w:b/>
          <w:sz w:val="24"/>
          <w:szCs w:val="24"/>
        </w:rPr>
        <w:t>ервый</w:t>
      </w:r>
      <w:r w:rsidR="005E39DC" w:rsidRPr="00164945">
        <w:rPr>
          <w:sz w:val="24"/>
          <w:szCs w:val="24"/>
        </w:rPr>
        <w:t xml:space="preserve"> раз. </w:t>
      </w:r>
    </w:p>
    <w:p w:rsidR="00C47B61" w:rsidRPr="00FE13E3" w:rsidRDefault="00FE13E3" w:rsidP="00FE13E3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  <w:t xml:space="preserve">            </w:t>
      </w:r>
      <w:r w:rsidR="00241EFE" w:rsidRPr="00164945">
        <w:rPr>
          <w:sz w:val="24"/>
          <w:szCs w:val="24"/>
        </w:rPr>
        <w:t xml:space="preserve">Внесение изменений </w:t>
      </w:r>
      <w:r w:rsidR="00033BD1" w:rsidRPr="00164945">
        <w:rPr>
          <w:sz w:val="24"/>
          <w:szCs w:val="24"/>
        </w:rPr>
        <w:t xml:space="preserve">в решение о бюджете поселения </w:t>
      </w:r>
      <w:r w:rsidR="00241EFE" w:rsidRPr="00164945">
        <w:rPr>
          <w:sz w:val="24"/>
          <w:szCs w:val="24"/>
        </w:rPr>
        <w:t xml:space="preserve">связано с </w:t>
      </w:r>
      <w:r w:rsidR="00E86FFA" w:rsidRPr="00164945">
        <w:rPr>
          <w:sz w:val="24"/>
          <w:szCs w:val="24"/>
        </w:rPr>
        <w:t>увеличен</w:t>
      </w:r>
      <w:r w:rsidR="00DA5130">
        <w:rPr>
          <w:sz w:val="24"/>
          <w:szCs w:val="24"/>
        </w:rPr>
        <w:t xml:space="preserve">ием расходной базы в 2021 году за счет </w:t>
      </w:r>
      <w:r w:rsidR="00E86FFA" w:rsidRPr="00164945">
        <w:rPr>
          <w:sz w:val="24"/>
          <w:szCs w:val="24"/>
        </w:rPr>
        <w:t xml:space="preserve">остатка </w:t>
      </w:r>
      <w:r w:rsidR="0071723F" w:rsidRPr="00164945">
        <w:rPr>
          <w:sz w:val="24"/>
          <w:szCs w:val="24"/>
        </w:rPr>
        <w:t>средств</w:t>
      </w:r>
      <w:r w:rsidR="00BA2DF2">
        <w:rPr>
          <w:sz w:val="24"/>
          <w:szCs w:val="24"/>
        </w:rPr>
        <w:t xml:space="preserve"> бюджета поселения</w:t>
      </w:r>
      <w:r w:rsidR="0071723F" w:rsidRPr="00164945">
        <w:rPr>
          <w:sz w:val="24"/>
          <w:szCs w:val="24"/>
        </w:rPr>
        <w:t xml:space="preserve"> на начало года</w:t>
      </w:r>
      <w:r w:rsidR="00736A5A">
        <w:rPr>
          <w:sz w:val="24"/>
          <w:szCs w:val="24"/>
        </w:rPr>
        <w:t xml:space="preserve"> в сумме 674,0 тыс. рублей</w:t>
      </w:r>
      <w:r w:rsidR="00975AB3">
        <w:rPr>
          <w:sz w:val="24"/>
          <w:szCs w:val="24"/>
        </w:rPr>
        <w:t xml:space="preserve"> на приобретение транспортного средства</w:t>
      </w:r>
      <w:r w:rsidR="00241EFE" w:rsidRPr="00164945">
        <w:rPr>
          <w:sz w:val="24"/>
          <w:szCs w:val="24"/>
        </w:rPr>
        <w:t>.</w:t>
      </w:r>
      <w:r w:rsidR="00975AB3">
        <w:rPr>
          <w:sz w:val="24"/>
          <w:szCs w:val="24"/>
        </w:rPr>
        <w:t xml:space="preserve"> Также на 2021 год доходы и расходы бюджета поселения увеличиваются на сумму </w:t>
      </w:r>
      <w:r w:rsidR="00A56F48">
        <w:rPr>
          <w:sz w:val="24"/>
          <w:szCs w:val="24"/>
        </w:rPr>
        <w:t>28285,0 тыс. руб.</w:t>
      </w:r>
      <w:r w:rsidR="00FD21FD">
        <w:rPr>
          <w:sz w:val="24"/>
          <w:szCs w:val="24"/>
        </w:rPr>
        <w:t xml:space="preserve"> за счет дополнительных доходов, планируемых к поступлению в бюджет поселения и безвозмездных поступлений</w:t>
      </w:r>
      <w:r w:rsidR="00943E6E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Проектируемые основные характеристики бюджета</w:t>
      </w:r>
      <w:r w:rsidR="0071723F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на 202</w:t>
      </w:r>
      <w:r w:rsidR="0071723F" w:rsidRPr="00164945">
        <w:rPr>
          <w:sz w:val="24"/>
          <w:szCs w:val="24"/>
        </w:rPr>
        <w:t>1</w:t>
      </w:r>
      <w:r w:rsidR="00155550">
        <w:rPr>
          <w:sz w:val="24"/>
          <w:szCs w:val="24"/>
        </w:rPr>
        <w:t xml:space="preserve"> год</w:t>
      </w:r>
      <w:r w:rsidR="00241EFE" w:rsidRPr="00164945">
        <w:rPr>
          <w:sz w:val="24"/>
          <w:szCs w:val="24"/>
        </w:rPr>
        <w:t xml:space="preserve">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2A074A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2A074A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2A074A">
              <w:rPr>
                <w:b/>
                <w:sz w:val="24"/>
                <w:szCs w:val="24"/>
              </w:rPr>
              <w:t>3</w:t>
            </w:r>
            <w:r w:rsidR="001555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736A5A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11070,4</w:t>
            </w:r>
          </w:p>
        </w:tc>
        <w:tc>
          <w:tcPr>
            <w:tcW w:w="2506" w:type="dxa"/>
          </w:tcPr>
          <w:p w:rsidR="00BC2B43" w:rsidRPr="00BC2B43" w:rsidRDefault="009666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39355,4</w:t>
            </w:r>
          </w:p>
        </w:tc>
        <w:tc>
          <w:tcPr>
            <w:tcW w:w="2028" w:type="dxa"/>
          </w:tcPr>
          <w:p w:rsidR="00BC2B43" w:rsidRPr="00BC2B43" w:rsidRDefault="009666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+28285,0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9666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11070,4</w:t>
            </w:r>
          </w:p>
        </w:tc>
        <w:tc>
          <w:tcPr>
            <w:tcW w:w="2506" w:type="dxa"/>
          </w:tcPr>
          <w:p w:rsidR="00BC2B43" w:rsidRPr="00BC2B43" w:rsidRDefault="009666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40029,4</w:t>
            </w:r>
          </w:p>
        </w:tc>
        <w:tc>
          <w:tcPr>
            <w:tcW w:w="2028" w:type="dxa"/>
          </w:tcPr>
          <w:p w:rsidR="00BC2B43" w:rsidRPr="00BC2B43" w:rsidRDefault="007C214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+28959,0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BC2B43" w:rsidRDefault="0096663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BC2B43" w:rsidRPr="00BC2B43" w:rsidRDefault="007C214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663E">
              <w:rPr>
                <w:sz w:val="24"/>
                <w:szCs w:val="24"/>
              </w:rPr>
              <w:t>674,0</w:t>
            </w:r>
          </w:p>
        </w:tc>
        <w:tc>
          <w:tcPr>
            <w:tcW w:w="2028" w:type="dxa"/>
          </w:tcPr>
          <w:p w:rsidR="00BC2B43" w:rsidRPr="00BC2B43" w:rsidRDefault="007C214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94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674,0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Pr="00164945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594EB8" w:rsidRDefault="003A7146" w:rsidP="003A714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доходов бюджета поселения на 2021 год</w:t>
      </w:r>
      <w:r w:rsidRPr="00164945">
        <w:rPr>
          <w:sz w:val="24"/>
          <w:szCs w:val="24"/>
        </w:rPr>
        <w:t xml:space="preserve"> увеличивается </w:t>
      </w:r>
      <w:r w:rsidR="001202CD">
        <w:rPr>
          <w:sz w:val="24"/>
          <w:szCs w:val="24"/>
        </w:rPr>
        <w:t>в общей сумме на 28285,0 тыс. рублей</w:t>
      </w:r>
      <w:r w:rsidR="003928E1">
        <w:rPr>
          <w:sz w:val="24"/>
          <w:szCs w:val="24"/>
        </w:rPr>
        <w:t xml:space="preserve"> (составит 39355,4 тыс. рублей)</w:t>
      </w:r>
      <w:r w:rsidR="001202CD">
        <w:rPr>
          <w:sz w:val="24"/>
          <w:szCs w:val="24"/>
        </w:rPr>
        <w:t xml:space="preserve">, в том числе </w:t>
      </w:r>
      <w:r w:rsidRPr="00164945">
        <w:rPr>
          <w:sz w:val="24"/>
          <w:szCs w:val="24"/>
        </w:rPr>
        <w:t xml:space="preserve">за счет </w:t>
      </w:r>
      <w:r w:rsidR="00192E5F">
        <w:rPr>
          <w:sz w:val="24"/>
          <w:szCs w:val="24"/>
        </w:rPr>
        <w:t>дополнительных доходов поступающих в бюджет поселения</w:t>
      </w:r>
      <w:r w:rsidR="00594EB8">
        <w:rPr>
          <w:sz w:val="24"/>
          <w:szCs w:val="24"/>
        </w:rPr>
        <w:t>:</w:t>
      </w:r>
    </w:p>
    <w:p w:rsidR="00594EB8" w:rsidRDefault="00594EB8" w:rsidP="003A714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B09B0">
        <w:rPr>
          <w:sz w:val="24"/>
          <w:szCs w:val="24"/>
        </w:rPr>
        <w:t xml:space="preserve"> по договорам аренды муниципального имущества, </w:t>
      </w:r>
    </w:p>
    <w:p w:rsidR="007E2124" w:rsidRDefault="00594EB8" w:rsidP="003A714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</w:t>
      </w:r>
      <w:r w:rsidR="00BB09B0">
        <w:rPr>
          <w:sz w:val="24"/>
          <w:szCs w:val="24"/>
        </w:rPr>
        <w:t>продажи земельных участков</w:t>
      </w:r>
      <w:r w:rsidR="00192E5F">
        <w:rPr>
          <w:sz w:val="24"/>
          <w:szCs w:val="24"/>
        </w:rPr>
        <w:t>,</w:t>
      </w:r>
    </w:p>
    <w:p w:rsidR="003A7146" w:rsidRPr="00164945" w:rsidRDefault="007E2124" w:rsidP="003A714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E5F">
        <w:rPr>
          <w:sz w:val="24"/>
          <w:szCs w:val="24"/>
        </w:rPr>
        <w:t xml:space="preserve">за счет </w:t>
      </w:r>
      <w:r w:rsidR="00D93FC2">
        <w:rPr>
          <w:sz w:val="24"/>
          <w:szCs w:val="24"/>
        </w:rPr>
        <w:t>безвозмездных поступлений</w:t>
      </w:r>
      <w:r w:rsidR="00FC4F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A7146" w:rsidRPr="00164945">
        <w:rPr>
          <w:sz w:val="24"/>
          <w:szCs w:val="24"/>
        </w:rPr>
        <w:t xml:space="preserve"> </w:t>
      </w:r>
    </w:p>
    <w:p w:rsidR="00934984" w:rsidRDefault="003A7146" w:rsidP="003A714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С учетом предлагаемых изменений плановый объем </w:t>
      </w:r>
      <w:r w:rsidR="00D93FC2">
        <w:rPr>
          <w:sz w:val="24"/>
          <w:szCs w:val="24"/>
        </w:rPr>
        <w:t>поступлений</w:t>
      </w:r>
      <w:r w:rsidR="00B86287">
        <w:rPr>
          <w:sz w:val="24"/>
          <w:szCs w:val="24"/>
        </w:rPr>
        <w:t xml:space="preserve"> в бюджет поселения</w:t>
      </w:r>
      <w:r w:rsidR="00D93FC2">
        <w:rPr>
          <w:sz w:val="24"/>
          <w:szCs w:val="24"/>
        </w:rPr>
        <w:t xml:space="preserve"> составит</w:t>
      </w:r>
      <w:r w:rsidRPr="00164945">
        <w:rPr>
          <w:sz w:val="24"/>
          <w:szCs w:val="24"/>
        </w:rPr>
        <w:t xml:space="preserve"> в 2021 году </w:t>
      </w:r>
      <w:r w:rsidR="00D93FC2">
        <w:rPr>
          <w:sz w:val="24"/>
          <w:szCs w:val="24"/>
        </w:rPr>
        <w:t>39355,4</w:t>
      </w:r>
      <w:r w:rsidRPr="00164945">
        <w:rPr>
          <w:sz w:val="24"/>
          <w:szCs w:val="24"/>
        </w:rPr>
        <w:t xml:space="preserve"> тыс. рублей. </w:t>
      </w:r>
      <w:r w:rsidR="001652D1">
        <w:rPr>
          <w:sz w:val="24"/>
          <w:szCs w:val="24"/>
        </w:rPr>
        <w:t xml:space="preserve">Налоговые и неналоговые доходы увеличатся на 547,8 тыс. рублей по статье </w:t>
      </w:r>
      <w:r w:rsidR="00AF6E5E">
        <w:rPr>
          <w:sz w:val="24"/>
          <w:szCs w:val="24"/>
        </w:rPr>
        <w:t xml:space="preserve">«Доходы, получаемые в виде арендной либо иной платы за </w:t>
      </w:r>
      <w:r w:rsidR="00BA0D5C">
        <w:rPr>
          <w:sz w:val="24"/>
          <w:szCs w:val="24"/>
        </w:rPr>
        <w:t>передачу в возмездное пользование государственного и муниципального имущества</w:t>
      </w:r>
      <w:r w:rsidR="00BF0FED">
        <w:rPr>
          <w:sz w:val="24"/>
          <w:szCs w:val="24"/>
        </w:rPr>
        <w:t>…</w:t>
      </w:r>
      <w:r w:rsidR="00B96C3F">
        <w:rPr>
          <w:sz w:val="24"/>
          <w:szCs w:val="24"/>
        </w:rPr>
        <w:t>»</w:t>
      </w:r>
      <w:r w:rsidR="00BF0FED">
        <w:rPr>
          <w:sz w:val="24"/>
          <w:szCs w:val="24"/>
        </w:rPr>
        <w:t xml:space="preserve"> и составят 1820,8 тыс. рублей.</w:t>
      </w:r>
      <w:r w:rsidR="00AF6E5E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Безвозмездные поступления </w:t>
      </w:r>
      <w:r w:rsidR="00681A69">
        <w:rPr>
          <w:sz w:val="24"/>
          <w:szCs w:val="24"/>
        </w:rPr>
        <w:t>планируются в размере 27863,7 тыс. руб. П</w:t>
      </w:r>
      <w:r w:rsidRPr="00164945">
        <w:rPr>
          <w:sz w:val="24"/>
          <w:szCs w:val="24"/>
        </w:rPr>
        <w:t>редлагается у</w:t>
      </w:r>
      <w:r w:rsidR="006A5E6F">
        <w:rPr>
          <w:sz w:val="24"/>
          <w:szCs w:val="24"/>
        </w:rPr>
        <w:t xml:space="preserve">величить </w:t>
      </w:r>
      <w:r w:rsidR="00681A69">
        <w:rPr>
          <w:sz w:val="24"/>
          <w:szCs w:val="24"/>
        </w:rPr>
        <w:t xml:space="preserve">прочие безвозмездные поступления </w:t>
      </w:r>
      <w:r w:rsidR="006A5E6F">
        <w:rPr>
          <w:sz w:val="24"/>
          <w:szCs w:val="24"/>
        </w:rPr>
        <w:t>на</w:t>
      </w:r>
      <w:r w:rsidR="00AF4542">
        <w:rPr>
          <w:sz w:val="24"/>
          <w:szCs w:val="24"/>
        </w:rPr>
        <w:t xml:space="preserve"> 27737,2 тыс. рублей</w:t>
      </w:r>
      <w:r w:rsidR="006A5E6F">
        <w:rPr>
          <w:sz w:val="24"/>
          <w:szCs w:val="24"/>
        </w:rPr>
        <w:t xml:space="preserve">, добавив </w:t>
      </w:r>
      <w:r w:rsidR="00AF4542">
        <w:rPr>
          <w:sz w:val="24"/>
          <w:szCs w:val="24"/>
        </w:rPr>
        <w:t>стать</w:t>
      </w:r>
      <w:r w:rsidR="006A5E6F">
        <w:rPr>
          <w:sz w:val="24"/>
          <w:szCs w:val="24"/>
        </w:rPr>
        <w:t>ю</w:t>
      </w:r>
      <w:r w:rsidR="00AF4542">
        <w:rPr>
          <w:sz w:val="24"/>
          <w:szCs w:val="24"/>
        </w:rPr>
        <w:t xml:space="preserve"> доходов</w:t>
      </w:r>
      <w:r w:rsidRPr="00164945">
        <w:rPr>
          <w:sz w:val="24"/>
          <w:szCs w:val="24"/>
        </w:rPr>
        <w:t xml:space="preserve"> «Прочие </w:t>
      </w:r>
      <w:r w:rsidR="009D2D3F">
        <w:rPr>
          <w:sz w:val="24"/>
          <w:szCs w:val="24"/>
        </w:rPr>
        <w:t xml:space="preserve">безвозмездные поступления в бюджеты </w:t>
      </w:r>
      <w:r w:rsidRPr="00164945">
        <w:rPr>
          <w:sz w:val="24"/>
          <w:szCs w:val="24"/>
        </w:rPr>
        <w:t>сельских поселений»</w:t>
      </w:r>
      <w:r w:rsidR="006A5E6F">
        <w:rPr>
          <w:sz w:val="24"/>
          <w:szCs w:val="24"/>
        </w:rPr>
        <w:t xml:space="preserve"> в сумме 27737,2 тыс. рублей</w:t>
      </w:r>
      <w:r w:rsidRPr="00164945">
        <w:rPr>
          <w:sz w:val="24"/>
          <w:szCs w:val="24"/>
        </w:rPr>
        <w:t>.</w:t>
      </w:r>
      <w:r w:rsidR="006500AD">
        <w:rPr>
          <w:sz w:val="24"/>
          <w:szCs w:val="24"/>
        </w:rPr>
        <w:t xml:space="preserve"> </w:t>
      </w:r>
    </w:p>
    <w:p w:rsidR="003A7146" w:rsidRPr="00934984" w:rsidRDefault="006500AD" w:rsidP="003A714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934984">
        <w:rPr>
          <w:b/>
          <w:i/>
          <w:sz w:val="24"/>
          <w:szCs w:val="24"/>
        </w:rPr>
        <w:t xml:space="preserve">Уведомлений об увеличении </w:t>
      </w:r>
      <w:r w:rsidR="00934984" w:rsidRPr="00934984">
        <w:rPr>
          <w:b/>
          <w:i/>
          <w:sz w:val="24"/>
          <w:szCs w:val="24"/>
        </w:rPr>
        <w:t>лимитов бюджетных обязательств к проекту решения о бюджете не представлено.</w:t>
      </w:r>
      <w:r w:rsidR="003A7146" w:rsidRPr="00934984">
        <w:rPr>
          <w:b/>
          <w:i/>
          <w:sz w:val="24"/>
          <w:szCs w:val="24"/>
        </w:rPr>
        <w:t xml:space="preserve"> </w:t>
      </w:r>
    </w:p>
    <w:p w:rsidR="00934984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7313F2" w:rsidRPr="00616936" w:rsidRDefault="00241EFE" w:rsidP="0093498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C41A65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Расходная часть бюджета</w:t>
      </w:r>
      <w:r w:rsidR="001436F1" w:rsidRPr="00164945">
        <w:rPr>
          <w:sz w:val="24"/>
          <w:szCs w:val="24"/>
        </w:rPr>
        <w:t xml:space="preserve"> </w:t>
      </w:r>
      <w:r w:rsidR="009A429C" w:rsidRPr="00164945">
        <w:rPr>
          <w:sz w:val="24"/>
          <w:szCs w:val="24"/>
        </w:rPr>
        <w:t xml:space="preserve">поселения </w:t>
      </w:r>
      <w:r w:rsidR="009A429C">
        <w:rPr>
          <w:sz w:val="24"/>
          <w:szCs w:val="24"/>
        </w:rPr>
        <w:t xml:space="preserve">проектом решения </w:t>
      </w:r>
      <w:r w:rsidRPr="00164945">
        <w:rPr>
          <w:sz w:val="24"/>
          <w:szCs w:val="24"/>
        </w:rPr>
        <w:t>сп</w:t>
      </w:r>
      <w:r w:rsidR="009A429C">
        <w:rPr>
          <w:sz w:val="24"/>
          <w:szCs w:val="24"/>
        </w:rPr>
        <w:t>ланиро</w:t>
      </w:r>
      <w:r w:rsidRPr="00164945">
        <w:rPr>
          <w:sz w:val="24"/>
          <w:szCs w:val="24"/>
        </w:rPr>
        <w:t>вана на 202</w:t>
      </w:r>
      <w:r w:rsidR="00171D7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</w:t>
      </w:r>
      <w:r w:rsidR="00616936">
        <w:rPr>
          <w:sz w:val="24"/>
          <w:szCs w:val="24"/>
        </w:rPr>
        <w:t>в сумме</w:t>
      </w:r>
      <w:r w:rsidR="004944DB" w:rsidRPr="00164945">
        <w:rPr>
          <w:sz w:val="24"/>
          <w:szCs w:val="24"/>
        </w:rPr>
        <w:t xml:space="preserve"> </w:t>
      </w:r>
      <w:r w:rsidR="009A429C">
        <w:rPr>
          <w:sz w:val="24"/>
          <w:szCs w:val="24"/>
        </w:rPr>
        <w:t>40029,4</w:t>
      </w:r>
      <w:r w:rsidR="001922B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</w:t>
      </w:r>
      <w:r w:rsidR="00616936">
        <w:rPr>
          <w:sz w:val="24"/>
          <w:szCs w:val="24"/>
        </w:rPr>
        <w:t>.</w:t>
      </w:r>
      <w:r w:rsidR="00BD6927">
        <w:rPr>
          <w:sz w:val="24"/>
          <w:szCs w:val="24"/>
        </w:rPr>
        <w:t xml:space="preserve">  Н</w:t>
      </w:r>
      <w:r w:rsidRPr="00164945">
        <w:rPr>
          <w:sz w:val="24"/>
          <w:szCs w:val="24"/>
        </w:rPr>
        <w:t>а</w:t>
      </w:r>
      <w:r w:rsidR="00BD6927">
        <w:rPr>
          <w:sz w:val="24"/>
          <w:szCs w:val="24"/>
        </w:rPr>
        <w:t xml:space="preserve"> период </w:t>
      </w:r>
      <w:r w:rsidRPr="00164945">
        <w:rPr>
          <w:sz w:val="24"/>
          <w:szCs w:val="24"/>
        </w:rPr>
        <w:t>202</w:t>
      </w:r>
      <w:r w:rsidR="001922B6" w:rsidRPr="00164945">
        <w:rPr>
          <w:sz w:val="24"/>
          <w:szCs w:val="24"/>
        </w:rPr>
        <w:t>2</w:t>
      </w:r>
      <w:r w:rsidR="00BD6927">
        <w:rPr>
          <w:sz w:val="24"/>
          <w:szCs w:val="24"/>
        </w:rPr>
        <w:t xml:space="preserve"> и</w:t>
      </w:r>
      <w:r w:rsidRPr="00164945">
        <w:rPr>
          <w:sz w:val="24"/>
          <w:szCs w:val="24"/>
        </w:rPr>
        <w:t xml:space="preserve"> 202</w:t>
      </w:r>
      <w:r w:rsidR="00173664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BD6927">
        <w:rPr>
          <w:sz w:val="24"/>
          <w:szCs w:val="24"/>
        </w:rPr>
        <w:t>ов</w:t>
      </w:r>
      <w:r w:rsidRPr="00164945">
        <w:rPr>
          <w:sz w:val="24"/>
          <w:szCs w:val="24"/>
        </w:rPr>
        <w:t xml:space="preserve"> </w:t>
      </w:r>
      <w:r w:rsidR="00BD6927">
        <w:rPr>
          <w:sz w:val="24"/>
          <w:szCs w:val="24"/>
        </w:rPr>
        <w:t>изменения по расходам бюджета поселения не вносятся</w:t>
      </w:r>
      <w:r w:rsidRPr="00164945">
        <w:rPr>
          <w:sz w:val="24"/>
          <w:szCs w:val="24"/>
        </w:rPr>
        <w:t xml:space="preserve">. </w:t>
      </w:r>
    </w:p>
    <w:p w:rsidR="00FC12F1" w:rsidRPr="00164945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 на </w:t>
      </w:r>
      <w:r w:rsidR="001B7F03">
        <w:rPr>
          <w:sz w:val="24"/>
          <w:szCs w:val="24"/>
        </w:rPr>
        <w:t>28959,0</w:t>
      </w:r>
      <w:r w:rsidR="00C41A65" w:rsidRPr="00164945">
        <w:rPr>
          <w:sz w:val="24"/>
          <w:szCs w:val="24"/>
        </w:rPr>
        <w:t xml:space="preserve"> тыс</w:t>
      </w:r>
      <w:r w:rsidR="00C925F9">
        <w:rPr>
          <w:sz w:val="24"/>
          <w:szCs w:val="24"/>
        </w:rPr>
        <w:t xml:space="preserve">. рублей </w:t>
      </w:r>
      <w:r w:rsidRPr="00164945">
        <w:rPr>
          <w:sz w:val="24"/>
          <w:szCs w:val="24"/>
        </w:rPr>
        <w:t>за счет</w:t>
      </w:r>
      <w:r w:rsidR="00C925F9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остатков средств бюджета</w:t>
      </w:r>
      <w:r w:rsidR="00B453BC" w:rsidRPr="00164945">
        <w:rPr>
          <w:sz w:val="24"/>
          <w:szCs w:val="24"/>
        </w:rPr>
        <w:t xml:space="preserve"> </w:t>
      </w:r>
      <w:r w:rsidR="00654FD8" w:rsidRPr="00164945">
        <w:rPr>
          <w:sz w:val="24"/>
          <w:szCs w:val="24"/>
        </w:rPr>
        <w:t>поселения на начало года</w:t>
      </w:r>
      <w:r w:rsidR="001B7F03">
        <w:rPr>
          <w:sz w:val="24"/>
          <w:szCs w:val="24"/>
        </w:rPr>
        <w:t>, а также планируемых к поступлению безвозмездных поступлений</w:t>
      </w:r>
      <w:r w:rsidRPr="00164945">
        <w:rPr>
          <w:sz w:val="24"/>
          <w:szCs w:val="24"/>
        </w:rPr>
        <w:t>.</w:t>
      </w:r>
      <w:r w:rsidR="007A0A6F" w:rsidRPr="00164945">
        <w:rPr>
          <w:sz w:val="24"/>
          <w:szCs w:val="24"/>
        </w:rPr>
        <w:t xml:space="preserve"> Из них 8</w:t>
      </w:r>
      <w:r w:rsidR="00C925F9">
        <w:rPr>
          <w:sz w:val="24"/>
          <w:szCs w:val="24"/>
        </w:rPr>
        <w:t>50,0</w:t>
      </w:r>
      <w:r w:rsidR="007A0A6F" w:rsidRPr="00164945">
        <w:rPr>
          <w:sz w:val="24"/>
          <w:szCs w:val="24"/>
        </w:rPr>
        <w:t xml:space="preserve"> тыс. рублей на приобретение автомобиля, </w:t>
      </w:r>
      <w:r w:rsidR="00502800">
        <w:rPr>
          <w:sz w:val="24"/>
          <w:szCs w:val="24"/>
        </w:rPr>
        <w:t>216,5</w:t>
      </w:r>
      <w:r w:rsidR="00ED1FD3" w:rsidRPr="00164945">
        <w:rPr>
          <w:sz w:val="24"/>
          <w:szCs w:val="24"/>
        </w:rPr>
        <w:t xml:space="preserve"> </w:t>
      </w:r>
      <w:r w:rsidR="00696DBB" w:rsidRPr="00164945">
        <w:rPr>
          <w:sz w:val="24"/>
          <w:szCs w:val="24"/>
        </w:rPr>
        <w:t>тыс. рублей</w:t>
      </w:r>
      <w:r w:rsidR="00FC12F1" w:rsidRPr="00164945">
        <w:rPr>
          <w:sz w:val="24"/>
          <w:szCs w:val="24"/>
        </w:rPr>
        <w:t xml:space="preserve"> на</w:t>
      </w:r>
      <w:r w:rsidR="00996A57">
        <w:rPr>
          <w:sz w:val="24"/>
          <w:szCs w:val="24"/>
        </w:rPr>
        <w:t xml:space="preserve"> выплату заработной платы, </w:t>
      </w:r>
      <w:r w:rsidR="00506C3D">
        <w:rPr>
          <w:sz w:val="24"/>
          <w:szCs w:val="24"/>
        </w:rPr>
        <w:t>21,5</w:t>
      </w:r>
      <w:r w:rsidR="00502800">
        <w:rPr>
          <w:sz w:val="24"/>
          <w:szCs w:val="24"/>
        </w:rPr>
        <w:t xml:space="preserve"> тыс. рублей на </w:t>
      </w:r>
      <w:r w:rsidR="00B05738">
        <w:rPr>
          <w:sz w:val="24"/>
          <w:szCs w:val="24"/>
        </w:rPr>
        <w:t>функционирование администрации</w:t>
      </w:r>
      <w:r w:rsidR="00D04931" w:rsidRPr="00164945">
        <w:rPr>
          <w:sz w:val="24"/>
          <w:szCs w:val="24"/>
        </w:rPr>
        <w:t>.</w:t>
      </w:r>
      <w:r w:rsidR="00B05738">
        <w:rPr>
          <w:sz w:val="24"/>
          <w:szCs w:val="24"/>
        </w:rPr>
        <w:t xml:space="preserve"> Также на мероприятия по благоустройству поселения</w:t>
      </w:r>
      <w:r w:rsidR="005D3C9E">
        <w:rPr>
          <w:sz w:val="24"/>
          <w:szCs w:val="24"/>
        </w:rPr>
        <w:t xml:space="preserve"> добавляется 133,8 тыс. рублей на организацию уличного освещения и 27737,2 </w:t>
      </w:r>
      <w:r w:rsidR="00193BE6">
        <w:rPr>
          <w:sz w:val="24"/>
          <w:szCs w:val="24"/>
        </w:rPr>
        <w:t>тыс. рублей – дополнительное финансирование в рамках проекта «Русская Фиваида на Севере»</w:t>
      </w:r>
      <w:r w:rsidR="004966D4">
        <w:rPr>
          <w:sz w:val="24"/>
          <w:szCs w:val="24"/>
        </w:rPr>
        <w:t>.</w:t>
      </w:r>
    </w:p>
    <w:p w:rsidR="000F2319" w:rsidRPr="00164945" w:rsidRDefault="00D04931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Pr="00164945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241EFE" w:rsidRPr="00164945">
        <w:rPr>
          <w:sz w:val="24"/>
          <w:szCs w:val="24"/>
        </w:rPr>
        <w:t>: «Общегосударственные вопросы»</w:t>
      </w:r>
      <w:r w:rsidRPr="00164945">
        <w:rPr>
          <w:sz w:val="24"/>
          <w:szCs w:val="24"/>
        </w:rPr>
        <w:t xml:space="preserve"> и</w:t>
      </w:r>
      <w:r w:rsidR="00241EFE" w:rsidRPr="00164945">
        <w:rPr>
          <w:sz w:val="24"/>
          <w:szCs w:val="24"/>
        </w:rPr>
        <w:t xml:space="preserve"> «Жилищно-коммунальное хозяйство»</w:t>
      </w:r>
      <w:r w:rsidR="000F2319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</w:t>
      </w:r>
      <w:r w:rsidR="005B3454">
        <w:rPr>
          <w:sz w:val="24"/>
          <w:szCs w:val="24"/>
        </w:rPr>
        <w:t>у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Pr="00E54673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r w:rsidR="00036C13">
              <w:rPr>
                <w:b/>
                <w:sz w:val="24"/>
                <w:szCs w:val="24"/>
              </w:rPr>
              <w:t>р/ пр</w:t>
            </w:r>
          </w:p>
        </w:tc>
        <w:tc>
          <w:tcPr>
            <w:tcW w:w="4708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0211C1" w:rsidRPr="00E54673" w:rsidRDefault="005B3454" w:rsidP="00BF7E4F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ССП от 2</w:t>
            </w:r>
            <w:r w:rsidR="00BF7E4F">
              <w:rPr>
                <w:b/>
                <w:sz w:val="24"/>
                <w:szCs w:val="24"/>
              </w:rPr>
              <w:t>2</w:t>
            </w:r>
            <w:r w:rsidR="000211C1" w:rsidRPr="00E54673">
              <w:rPr>
                <w:b/>
                <w:sz w:val="24"/>
                <w:szCs w:val="24"/>
              </w:rPr>
              <w:t>.12.2020 №</w:t>
            </w:r>
            <w:r w:rsidR="00BF7E4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</w:t>
            </w:r>
            <w:r w:rsidR="00036C13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>ным значениям (+/-)</w:t>
            </w:r>
          </w:p>
        </w:tc>
      </w:tr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BF7E4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11070,4</w:t>
            </w:r>
          </w:p>
        </w:tc>
        <w:tc>
          <w:tcPr>
            <w:tcW w:w="1512" w:type="dxa"/>
          </w:tcPr>
          <w:p w:rsidR="000211C1" w:rsidRPr="002B64B0" w:rsidRDefault="00BF7E4F" w:rsidP="00BF7E4F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40029,4</w:t>
            </w:r>
          </w:p>
        </w:tc>
        <w:tc>
          <w:tcPr>
            <w:tcW w:w="1421" w:type="dxa"/>
          </w:tcPr>
          <w:p w:rsidR="000211C1" w:rsidRPr="002B64B0" w:rsidRDefault="00BF7E4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+28959,0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BF7E4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3631,5</w:t>
            </w:r>
          </w:p>
        </w:tc>
        <w:tc>
          <w:tcPr>
            <w:tcW w:w="1512" w:type="dxa"/>
          </w:tcPr>
          <w:p w:rsidR="00036C13" w:rsidRPr="002B64B0" w:rsidRDefault="00BF7E4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4719,5</w:t>
            </w:r>
          </w:p>
        </w:tc>
        <w:tc>
          <w:tcPr>
            <w:tcW w:w="1421" w:type="dxa"/>
          </w:tcPr>
          <w:p w:rsidR="00036C13" w:rsidRPr="002B64B0" w:rsidRDefault="000A3AA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+1088,0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4708" w:type="dxa"/>
          </w:tcPr>
          <w:p w:rsidR="00036C13" w:rsidRPr="00BC2B43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</w:t>
            </w:r>
            <w:r w:rsidR="00124B95">
              <w:rPr>
                <w:sz w:val="24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715" w:type="dxa"/>
          </w:tcPr>
          <w:p w:rsidR="00036C13" w:rsidRPr="00BC2B43" w:rsidRDefault="00124B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512" w:type="dxa"/>
          </w:tcPr>
          <w:p w:rsidR="00036C13" w:rsidRPr="00BC2B43" w:rsidRDefault="00124B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919,5</w:t>
            </w:r>
          </w:p>
        </w:tc>
        <w:tc>
          <w:tcPr>
            <w:tcW w:w="1421" w:type="dxa"/>
          </w:tcPr>
          <w:p w:rsidR="00036C13" w:rsidRPr="00BC2B43" w:rsidRDefault="00B67D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+159,5</w:t>
            </w:r>
          </w:p>
        </w:tc>
      </w:tr>
      <w:tr w:rsidR="00C25F97" w:rsidRPr="00BC2B43" w:rsidTr="00036C13">
        <w:trPr>
          <w:jc w:val="center"/>
        </w:trPr>
        <w:tc>
          <w:tcPr>
            <w:tcW w:w="803" w:type="dxa"/>
          </w:tcPr>
          <w:p w:rsidR="00C25F97" w:rsidRPr="00BC2B43" w:rsidRDefault="00C25F97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708" w:type="dxa"/>
          </w:tcPr>
          <w:p w:rsidR="00C25F97" w:rsidRPr="00BC2B43" w:rsidRDefault="00C25F97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15" w:type="dxa"/>
          </w:tcPr>
          <w:p w:rsidR="00C25F97" w:rsidRPr="00BC2B43" w:rsidRDefault="00124B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2508,0</w:t>
            </w:r>
          </w:p>
        </w:tc>
        <w:tc>
          <w:tcPr>
            <w:tcW w:w="1512" w:type="dxa"/>
          </w:tcPr>
          <w:p w:rsidR="00C25F97" w:rsidRPr="00BC2B43" w:rsidRDefault="00124B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3436,5</w:t>
            </w:r>
          </w:p>
        </w:tc>
        <w:tc>
          <w:tcPr>
            <w:tcW w:w="1421" w:type="dxa"/>
          </w:tcPr>
          <w:p w:rsidR="00C25F97" w:rsidRPr="00BC2B43" w:rsidRDefault="00B67D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+928,5</w:t>
            </w:r>
          </w:p>
        </w:tc>
      </w:tr>
      <w:tr w:rsidR="00C25F97" w:rsidRPr="002B64B0" w:rsidTr="00036C13">
        <w:trPr>
          <w:jc w:val="center"/>
        </w:trPr>
        <w:tc>
          <w:tcPr>
            <w:tcW w:w="803" w:type="dxa"/>
          </w:tcPr>
          <w:p w:rsidR="00C25F97" w:rsidRPr="002B64B0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C25F97" w:rsidRPr="002B64B0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C25F97" w:rsidRPr="002B64B0" w:rsidRDefault="009B71F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3305,2</w:t>
            </w:r>
          </w:p>
        </w:tc>
        <w:tc>
          <w:tcPr>
            <w:tcW w:w="1512" w:type="dxa"/>
          </w:tcPr>
          <w:p w:rsidR="00C25F97" w:rsidRPr="002B64B0" w:rsidRDefault="009B71F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31176,2</w:t>
            </w:r>
          </w:p>
        </w:tc>
        <w:tc>
          <w:tcPr>
            <w:tcW w:w="1421" w:type="dxa"/>
          </w:tcPr>
          <w:p w:rsidR="00C25F97" w:rsidRPr="002B64B0" w:rsidRDefault="00B67D9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+27871,0</w:t>
            </w:r>
          </w:p>
        </w:tc>
      </w:tr>
      <w:tr w:rsidR="00C25F97" w:rsidRPr="00BC2B43" w:rsidTr="00036C13">
        <w:trPr>
          <w:jc w:val="center"/>
        </w:trPr>
        <w:tc>
          <w:tcPr>
            <w:tcW w:w="803" w:type="dxa"/>
          </w:tcPr>
          <w:p w:rsidR="00C25F97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C25F97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C25F97" w:rsidRDefault="009B71F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3305,2</w:t>
            </w:r>
          </w:p>
        </w:tc>
        <w:tc>
          <w:tcPr>
            <w:tcW w:w="1512" w:type="dxa"/>
          </w:tcPr>
          <w:p w:rsidR="00C25F97" w:rsidRDefault="009B71F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31176,2</w:t>
            </w:r>
          </w:p>
        </w:tc>
        <w:tc>
          <w:tcPr>
            <w:tcW w:w="1421" w:type="dxa"/>
          </w:tcPr>
          <w:p w:rsidR="00C25F97" w:rsidRDefault="00B67D95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+27871,0</w:t>
            </w:r>
          </w:p>
        </w:tc>
      </w:tr>
      <w:tr w:rsidR="00C25F97" w:rsidRPr="004E19A9" w:rsidTr="00036C13">
        <w:trPr>
          <w:jc w:val="center"/>
        </w:trPr>
        <w:tc>
          <w:tcPr>
            <w:tcW w:w="803" w:type="dxa"/>
          </w:tcPr>
          <w:p w:rsidR="00C25F97" w:rsidRPr="004E19A9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C25F97" w:rsidRPr="004E19A9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C25F97" w:rsidRPr="004E19A9" w:rsidRDefault="002D399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6573,2</w:t>
            </w:r>
          </w:p>
        </w:tc>
        <w:tc>
          <w:tcPr>
            <w:tcW w:w="1512" w:type="dxa"/>
          </w:tcPr>
          <w:p w:rsidR="00C25F97" w:rsidRPr="004E19A9" w:rsidRDefault="002D399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35532,2</w:t>
            </w:r>
          </w:p>
        </w:tc>
        <w:tc>
          <w:tcPr>
            <w:tcW w:w="1421" w:type="dxa"/>
          </w:tcPr>
          <w:p w:rsidR="00C25F97" w:rsidRPr="004E19A9" w:rsidRDefault="002D399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+28959,0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164945" w:rsidRDefault="00E2202C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>р</w:t>
      </w:r>
      <w:r w:rsidR="00C54850">
        <w:rPr>
          <w:sz w:val="24"/>
          <w:szCs w:val="24"/>
        </w:rPr>
        <w:t>едлагаемые изменения включены в</w:t>
      </w:r>
      <w:r w:rsidRPr="00164945">
        <w:rPr>
          <w:sz w:val="24"/>
          <w:szCs w:val="24"/>
        </w:rPr>
        <w:t xml:space="preserve"> </w:t>
      </w:r>
      <w:r w:rsidR="00193E42">
        <w:rPr>
          <w:sz w:val="24"/>
          <w:szCs w:val="24"/>
        </w:rPr>
        <w:t>пр</w:t>
      </w:r>
      <w:r w:rsidR="0098750C" w:rsidRPr="00164945">
        <w:rPr>
          <w:sz w:val="24"/>
          <w:szCs w:val="24"/>
        </w:rPr>
        <w:t>ограммные расходы бюджета поселения в 2021 году</w:t>
      </w:r>
      <w:r w:rsidR="00C54850">
        <w:rPr>
          <w:sz w:val="24"/>
          <w:szCs w:val="24"/>
        </w:rPr>
        <w:t>, соответственно,</w:t>
      </w:r>
      <w:r w:rsidR="00241EFE" w:rsidRPr="00164945">
        <w:rPr>
          <w:sz w:val="24"/>
          <w:szCs w:val="24"/>
        </w:rPr>
        <w:t xml:space="preserve"> </w:t>
      </w:r>
      <w:r w:rsidR="00C54850">
        <w:rPr>
          <w:sz w:val="24"/>
          <w:szCs w:val="24"/>
        </w:rPr>
        <w:t xml:space="preserve">расходы на реализацию </w:t>
      </w:r>
      <w:r w:rsidR="003E5B4B">
        <w:rPr>
          <w:sz w:val="24"/>
          <w:szCs w:val="24"/>
        </w:rPr>
        <w:t>меро</w:t>
      </w:r>
      <w:r w:rsidR="002D3999">
        <w:rPr>
          <w:sz w:val="24"/>
          <w:szCs w:val="24"/>
        </w:rPr>
        <w:t xml:space="preserve">приятий муниципальной программы </w:t>
      </w:r>
      <w:r w:rsidR="003E5B4B">
        <w:rPr>
          <w:sz w:val="24"/>
          <w:szCs w:val="24"/>
        </w:rPr>
        <w:t xml:space="preserve">«Развитие территории </w:t>
      </w:r>
      <w:r w:rsidR="00D13C83">
        <w:rPr>
          <w:sz w:val="24"/>
          <w:szCs w:val="24"/>
        </w:rPr>
        <w:t xml:space="preserve">сельского </w:t>
      </w:r>
      <w:r w:rsidR="003E5B4B" w:rsidRPr="00164945">
        <w:rPr>
          <w:sz w:val="24"/>
          <w:szCs w:val="24"/>
        </w:rPr>
        <w:t xml:space="preserve">поселения </w:t>
      </w:r>
      <w:r w:rsidR="00D13C83">
        <w:rPr>
          <w:sz w:val="24"/>
          <w:szCs w:val="24"/>
        </w:rPr>
        <w:t>Ферапонтовское</w:t>
      </w:r>
      <w:r w:rsidR="003E5B4B" w:rsidRPr="00164945">
        <w:rPr>
          <w:sz w:val="24"/>
          <w:szCs w:val="24"/>
        </w:rPr>
        <w:t xml:space="preserve"> на 2021-2025 годы»</w:t>
      </w:r>
      <w:r w:rsidR="003E5B4B">
        <w:rPr>
          <w:sz w:val="24"/>
          <w:szCs w:val="24"/>
        </w:rPr>
        <w:t xml:space="preserve"> увеличиваются</w:t>
      </w:r>
      <w:r w:rsidR="00C54850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lastRenderedPageBreak/>
        <w:t xml:space="preserve">на </w:t>
      </w:r>
      <w:r w:rsidR="00370A7F">
        <w:rPr>
          <w:sz w:val="24"/>
          <w:szCs w:val="24"/>
        </w:rPr>
        <w:t>28959,0</w:t>
      </w:r>
      <w:r w:rsidR="00D73644" w:rsidRPr="00164945">
        <w:rPr>
          <w:sz w:val="24"/>
          <w:szCs w:val="24"/>
        </w:rPr>
        <w:t xml:space="preserve"> тыс</w:t>
      </w:r>
      <w:r w:rsidR="00193E42">
        <w:rPr>
          <w:sz w:val="24"/>
          <w:szCs w:val="24"/>
        </w:rPr>
        <w:t>. рублей</w:t>
      </w:r>
      <w:r w:rsidR="00D73644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предусмотрено </w:t>
      </w:r>
      <w:r w:rsidR="009629E8">
        <w:rPr>
          <w:sz w:val="24"/>
          <w:szCs w:val="24"/>
        </w:rPr>
        <w:t>в</w:t>
      </w:r>
      <w:r w:rsidR="002F4D28" w:rsidRPr="00164945">
        <w:rPr>
          <w:sz w:val="24"/>
          <w:szCs w:val="24"/>
        </w:rPr>
        <w:t xml:space="preserve"> 2021 год</w:t>
      </w:r>
      <w:r w:rsidR="009629E8">
        <w:rPr>
          <w:sz w:val="24"/>
          <w:szCs w:val="24"/>
        </w:rPr>
        <w:t xml:space="preserve">у расходов в сумме </w:t>
      </w:r>
      <w:r w:rsidR="00F54828">
        <w:rPr>
          <w:sz w:val="24"/>
          <w:szCs w:val="24"/>
        </w:rPr>
        <w:t>39990,4</w:t>
      </w:r>
      <w:r w:rsidR="002F4D28" w:rsidRPr="00164945">
        <w:rPr>
          <w:sz w:val="24"/>
          <w:szCs w:val="24"/>
        </w:rPr>
        <w:t xml:space="preserve"> тыс. рублей</w:t>
      </w:r>
      <w:r w:rsidR="00241EFE" w:rsidRPr="00164945">
        <w:rPr>
          <w:sz w:val="24"/>
          <w:szCs w:val="24"/>
        </w:rPr>
        <w:t>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0015E9">
        <w:rPr>
          <w:sz w:val="24"/>
          <w:szCs w:val="24"/>
        </w:rPr>
        <w:t xml:space="preserve">с учетом изменений </w:t>
      </w:r>
      <w:r w:rsidR="00241EFE" w:rsidRPr="00164945">
        <w:rPr>
          <w:sz w:val="24"/>
          <w:szCs w:val="24"/>
        </w:rPr>
        <w:t xml:space="preserve">составит </w:t>
      </w:r>
      <w:r w:rsidR="00EB23C4">
        <w:rPr>
          <w:sz w:val="24"/>
          <w:szCs w:val="24"/>
        </w:rPr>
        <w:t>99,</w:t>
      </w:r>
      <w:r w:rsidR="00E83532">
        <w:rPr>
          <w:sz w:val="24"/>
          <w:szCs w:val="24"/>
        </w:rPr>
        <w:t>9</w:t>
      </w:r>
      <w:r w:rsidR="00264265" w:rsidRPr="00164945">
        <w:rPr>
          <w:sz w:val="24"/>
          <w:szCs w:val="24"/>
        </w:rPr>
        <w:t>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</w:t>
      </w:r>
      <w:r w:rsidR="00EB23C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год</w:t>
      </w:r>
      <w:r w:rsidR="00EB23C4"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 xml:space="preserve">. рублей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887432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E83532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E83532">
              <w:rPr>
                <w:b/>
                <w:sz w:val="24"/>
                <w:szCs w:val="24"/>
              </w:rPr>
              <w:t>3</w:t>
            </w:r>
            <w:r w:rsidR="00EB23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</w:t>
            </w:r>
            <w:r w:rsidR="00981450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>ным значениям (+/-)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981450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 xml:space="preserve">Развитие </w:t>
            </w:r>
            <w:r w:rsidR="00E21BB2" w:rsidRPr="00E948F4">
              <w:rPr>
                <w:b/>
                <w:sz w:val="24"/>
                <w:szCs w:val="24"/>
              </w:rPr>
              <w:t>территории</w:t>
            </w:r>
            <w:r w:rsidR="00E83532">
              <w:rPr>
                <w:b/>
                <w:sz w:val="24"/>
                <w:szCs w:val="24"/>
              </w:rPr>
              <w:t xml:space="preserve"> сельского</w:t>
            </w:r>
            <w:r w:rsidR="00E21BB2" w:rsidRPr="00E948F4">
              <w:rPr>
                <w:b/>
                <w:sz w:val="24"/>
                <w:szCs w:val="24"/>
              </w:rPr>
              <w:t xml:space="preserve"> </w:t>
            </w:r>
            <w:r w:rsidR="00E62E53">
              <w:rPr>
                <w:b/>
                <w:sz w:val="24"/>
                <w:szCs w:val="24"/>
              </w:rPr>
              <w:t xml:space="preserve">поселения </w:t>
            </w:r>
            <w:r w:rsidR="00E83532">
              <w:rPr>
                <w:b/>
                <w:sz w:val="24"/>
                <w:szCs w:val="24"/>
              </w:rPr>
              <w:t>Ферапонтовское</w:t>
            </w:r>
            <w:r w:rsidR="00E21BB2"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E835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11031,4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E835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39990,4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+28959,0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E21BB2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E948F4">
              <w:rPr>
                <w:b/>
                <w:i/>
                <w:sz w:val="20"/>
                <w:szCs w:val="20"/>
              </w:rPr>
              <w:t xml:space="preserve">«Мероприятия, направленные на </w:t>
            </w:r>
            <w:r w:rsidR="00EF1923">
              <w:rPr>
                <w:b/>
                <w:i/>
                <w:sz w:val="20"/>
                <w:szCs w:val="20"/>
              </w:rPr>
              <w:t>обеспечение качественной инфраструктуры</w:t>
            </w:r>
            <w:r w:rsidR="001A26F9">
              <w:rPr>
                <w:b/>
                <w:i/>
                <w:sz w:val="20"/>
                <w:szCs w:val="20"/>
              </w:rPr>
              <w:t xml:space="preserve"> и повышение уровня комплексного обустройства поселения</w:t>
            </w:r>
            <w:r w:rsidRPr="00E948F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E835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3305,2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E835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31176,2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+27871,0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1A26F9" w:rsidP="001C150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1509">
              <w:rPr>
                <w:sz w:val="20"/>
                <w:szCs w:val="20"/>
              </w:rPr>
              <w:t>Учреждение «Благоустройство»</w:t>
            </w:r>
            <w:r w:rsidR="001B3ADB">
              <w:rPr>
                <w:sz w:val="20"/>
                <w:szCs w:val="20"/>
              </w:rPr>
              <w:t xml:space="preserve"> </w:t>
            </w:r>
            <w:r w:rsidR="001C1509">
              <w:rPr>
                <w:sz w:val="20"/>
                <w:szCs w:val="20"/>
              </w:rPr>
              <w:t xml:space="preserve"> </w:t>
            </w:r>
            <w:r w:rsidR="001B3ADB">
              <w:rPr>
                <w:sz w:val="20"/>
                <w:szCs w:val="20"/>
              </w:rPr>
              <w:t xml:space="preserve">0100222910 по </w:t>
            </w:r>
            <w:r w:rsidR="001C1509">
              <w:rPr>
                <w:sz w:val="20"/>
                <w:szCs w:val="20"/>
              </w:rPr>
              <w:t>0503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1B3AD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1B3ADB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27970,4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+27737,2</w:t>
            </w:r>
          </w:p>
        </w:tc>
      </w:tr>
      <w:tr w:rsidR="001B3ADB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B3ADB" w:rsidRPr="0021278A" w:rsidRDefault="001B3ADB" w:rsidP="001C150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уличного освещения </w:t>
            </w:r>
            <w:r w:rsidR="0021278A">
              <w:rPr>
                <w:sz w:val="20"/>
                <w:szCs w:val="20"/>
              </w:rPr>
              <w:t>01002</w:t>
            </w:r>
            <w:r w:rsidR="0021278A">
              <w:rPr>
                <w:sz w:val="20"/>
                <w:szCs w:val="20"/>
                <w:lang w:val="en-US"/>
              </w:rPr>
              <w:t>S</w:t>
            </w:r>
            <w:r w:rsidR="0021278A">
              <w:rPr>
                <w:sz w:val="20"/>
                <w:szCs w:val="20"/>
              </w:rPr>
              <w:t>1090 по 0503</w:t>
            </w:r>
          </w:p>
        </w:tc>
        <w:tc>
          <w:tcPr>
            <w:tcW w:w="1631" w:type="dxa"/>
            <w:shd w:val="clear" w:color="auto" w:fill="auto"/>
          </w:tcPr>
          <w:p w:rsidR="001B3ADB" w:rsidRDefault="0021278A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1545,5</w:t>
            </w:r>
          </w:p>
        </w:tc>
        <w:tc>
          <w:tcPr>
            <w:tcW w:w="1691" w:type="dxa"/>
            <w:shd w:val="clear" w:color="auto" w:fill="auto"/>
          </w:tcPr>
          <w:p w:rsidR="001B3ADB" w:rsidRDefault="0021278A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1679,3</w:t>
            </w:r>
          </w:p>
        </w:tc>
        <w:tc>
          <w:tcPr>
            <w:tcW w:w="1719" w:type="dxa"/>
            <w:shd w:val="clear" w:color="auto" w:fill="auto"/>
          </w:tcPr>
          <w:p w:rsidR="001B3ADB" w:rsidRPr="00E948F4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+133,8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21278A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4046,1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21278A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5134,1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+1088,0</w:t>
            </w:r>
          </w:p>
        </w:tc>
      </w:tr>
      <w:tr w:rsidR="003C1AA1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3C1AA1" w:rsidRDefault="00C57FC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органа местного самоуправления 0100722690 по 0102</w:t>
            </w:r>
          </w:p>
        </w:tc>
        <w:tc>
          <w:tcPr>
            <w:tcW w:w="1631" w:type="dxa"/>
            <w:shd w:val="clear" w:color="auto" w:fill="auto"/>
          </w:tcPr>
          <w:p w:rsidR="003C1AA1" w:rsidRPr="003C1AA1" w:rsidRDefault="00C57FC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691" w:type="dxa"/>
            <w:shd w:val="clear" w:color="auto" w:fill="auto"/>
          </w:tcPr>
          <w:p w:rsidR="003C1AA1" w:rsidRPr="003C1AA1" w:rsidRDefault="00C57FC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919,5</w:t>
            </w:r>
          </w:p>
        </w:tc>
        <w:tc>
          <w:tcPr>
            <w:tcW w:w="1719" w:type="dxa"/>
            <w:shd w:val="clear" w:color="auto" w:fill="auto"/>
          </w:tcPr>
          <w:p w:rsidR="003C1AA1" w:rsidRPr="003C1AA1" w:rsidRDefault="00F66815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+159,5</w:t>
            </w:r>
          </w:p>
        </w:tc>
      </w:tr>
      <w:tr w:rsidR="0021278A" w:rsidRPr="003C1AA1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21278A" w:rsidRDefault="0021278A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  <w:r w:rsidR="00B479EF">
              <w:rPr>
                <w:sz w:val="20"/>
                <w:szCs w:val="20"/>
              </w:rPr>
              <w:t xml:space="preserve">0100722700 по </w:t>
            </w:r>
            <w:r>
              <w:rPr>
                <w:sz w:val="20"/>
                <w:szCs w:val="20"/>
              </w:rPr>
              <w:t>0104</w:t>
            </w:r>
            <w:r w:rsidR="00B47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:rsidR="0021278A" w:rsidRPr="003C1AA1" w:rsidRDefault="00B479EF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2474,0</w:t>
            </w:r>
          </w:p>
        </w:tc>
        <w:tc>
          <w:tcPr>
            <w:tcW w:w="1691" w:type="dxa"/>
            <w:shd w:val="clear" w:color="auto" w:fill="auto"/>
          </w:tcPr>
          <w:p w:rsidR="0021278A" w:rsidRPr="003C1AA1" w:rsidRDefault="00B479EF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3400,5</w:t>
            </w:r>
          </w:p>
        </w:tc>
        <w:tc>
          <w:tcPr>
            <w:tcW w:w="1719" w:type="dxa"/>
            <w:shd w:val="clear" w:color="auto" w:fill="auto"/>
          </w:tcPr>
          <w:p w:rsidR="0021278A" w:rsidRPr="003C1AA1" w:rsidRDefault="0003459F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+926,5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993B9A" w:rsidRPr="00164945">
        <w:rPr>
          <w:sz w:val="24"/>
          <w:szCs w:val="24"/>
        </w:rPr>
        <w:t>1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>определено без дефицита (профицита)</w:t>
      </w:r>
      <w:r w:rsidRPr="00164945">
        <w:rPr>
          <w:sz w:val="24"/>
          <w:szCs w:val="24"/>
        </w:rPr>
        <w:t>. Для обеспечения дополнительных расходов в 202</w:t>
      </w:r>
      <w:r w:rsidR="00993B9A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164945">
        <w:rPr>
          <w:sz w:val="24"/>
          <w:szCs w:val="24"/>
        </w:rPr>
        <w:t>проектом решения</w:t>
      </w:r>
      <w:r w:rsidRPr="00164945">
        <w:rPr>
          <w:sz w:val="24"/>
          <w:szCs w:val="24"/>
        </w:rPr>
        <w:t xml:space="preserve"> предусмотрены остатки средств </w:t>
      </w:r>
      <w:r w:rsidR="00366088" w:rsidRPr="00164945">
        <w:rPr>
          <w:sz w:val="24"/>
          <w:szCs w:val="24"/>
        </w:rPr>
        <w:t xml:space="preserve">на счетах по учету средств </w:t>
      </w:r>
      <w:r w:rsidRPr="00164945">
        <w:rPr>
          <w:sz w:val="24"/>
          <w:szCs w:val="24"/>
        </w:rPr>
        <w:t>бюджета</w:t>
      </w:r>
      <w:r w:rsidR="00FC13B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в сумме </w:t>
      </w:r>
      <w:r w:rsidR="0003459F">
        <w:rPr>
          <w:sz w:val="24"/>
          <w:szCs w:val="24"/>
        </w:rPr>
        <w:t>674,0</w:t>
      </w:r>
      <w:r w:rsidR="00366088" w:rsidRPr="00164945">
        <w:rPr>
          <w:sz w:val="24"/>
          <w:szCs w:val="24"/>
        </w:rPr>
        <w:t xml:space="preserve"> тыс.</w:t>
      </w:r>
      <w:r w:rsidRPr="00164945">
        <w:rPr>
          <w:sz w:val="24"/>
          <w:szCs w:val="24"/>
        </w:rPr>
        <w:t xml:space="preserve"> рублей, соответственно, исполнение бюджета в текущем году запла</w:t>
      </w:r>
      <w:r w:rsidR="0003459F">
        <w:rPr>
          <w:sz w:val="24"/>
          <w:szCs w:val="24"/>
        </w:rPr>
        <w:t>нировано проектом решения с дефицитом в размере 674,0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591E52" w:rsidRPr="00164945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86D5C">
        <w:rPr>
          <w:sz w:val="24"/>
          <w:szCs w:val="24"/>
        </w:rPr>
        <w:t>39355,4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C86D5C">
        <w:rPr>
          <w:sz w:val="24"/>
          <w:szCs w:val="24"/>
        </w:rPr>
        <w:t>40029,4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>дефицит бюджета в сумме 674,0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448EA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на 202</w:t>
      </w:r>
      <w:r w:rsidR="007A1A1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основные характеристики остаются без изменений.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6819EE">
        <w:rPr>
          <w:sz w:val="24"/>
          <w:szCs w:val="24"/>
        </w:rPr>
        <w:t>2.12.2020 №3</w:t>
      </w:r>
      <w:r w:rsidR="00137505">
        <w:rPr>
          <w:sz w:val="24"/>
          <w:szCs w:val="24"/>
        </w:rPr>
        <w:t>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E24" w:rsidRDefault="00C16E24" w:rsidP="00980EAA">
      <w:r>
        <w:separator/>
      </w:r>
    </w:p>
  </w:endnote>
  <w:endnote w:type="continuationSeparator" w:id="0">
    <w:p w:rsidR="00C16E24" w:rsidRDefault="00C16E24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E24" w:rsidRDefault="00C16E24" w:rsidP="00980EAA">
      <w:r>
        <w:separator/>
      </w:r>
    </w:p>
  </w:footnote>
  <w:footnote w:type="continuationSeparator" w:id="0">
    <w:p w:rsidR="00C16E24" w:rsidRDefault="00C16E24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A7F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EE38-4F47-491D-8534-C2EF67FC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2021-02-05T09:20:00Z</cp:lastPrinted>
  <dcterms:created xsi:type="dcterms:W3CDTF">2021-02-09T05:54:00Z</dcterms:created>
  <dcterms:modified xsi:type="dcterms:W3CDTF">2021-02-09T13:25:00Z</dcterms:modified>
</cp:coreProperties>
</file>