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rPr>
          <w:b w:val="1"/>
          <w:sz w:val="16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E000000">
      <w:pPr>
        <w:rPr>
          <w:b w:val="1"/>
          <w:sz w:val="24"/>
        </w:rPr>
      </w:pPr>
    </w:p>
    <w:p w14:paraId="0F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10000000">
      <w:pPr>
        <w:pStyle w:val="Style_3"/>
        <w:rPr>
          <w:sz w:val="24"/>
        </w:rPr>
      </w:pPr>
      <w:r>
        <w:t>Р  Е  Ш  Е  Н  И  Е</w:t>
      </w:r>
    </w:p>
    <w:p w14:paraId="11000000">
      <w:pPr>
        <w:rPr>
          <w:b w:val="1"/>
          <w:sz w:val="24"/>
        </w:rPr>
      </w:pPr>
    </w:p>
    <w:p w14:paraId="12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3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5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</w:p>
        </w:tc>
      </w:tr>
    </w:tbl>
    <w:p w14:paraId="17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00000">
            <w:pPr>
              <w:pStyle w:val="Style_5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 внесении изменения</w:t>
            </w:r>
          </w:p>
          <w:p w14:paraId="19000000">
            <w:pPr>
              <w:pStyle w:val="Style_5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 решение Представительного Собрания от 02.11.2023 № 38</w:t>
            </w:r>
          </w:p>
          <w:p w14:paraId="1A000000">
            <w:pPr>
              <w:rPr>
                <w:sz w:val="28"/>
              </w:rPr>
            </w:pPr>
          </w:p>
        </w:tc>
      </w:tr>
    </w:tbl>
    <w:p w14:paraId="1B000000">
      <w:pPr>
        <w:rPr>
          <w:sz w:val="28"/>
        </w:rPr>
      </w:pPr>
    </w:p>
    <w:p w14:paraId="1C000000">
      <w:pPr>
        <w:pStyle w:val="Style_5"/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ind w:firstLine="480" w:left="0"/>
        <w:jc w:val="both"/>
        <w:rPr>
          <w:sz w:val="26"/>
        </w:rPr>
      </w:pPr>
      <w:r>
        <w:rPr>
          <w:sz w:val="26"/>
        </w:rPr>
        <w:t>В соответствии со </w:t>
      </w:r>
      <w:r>
        <w:rPr>
          <w:sz w:val="26"/>
        </w:rPr>
        <w:fldChar w:fldCharType="begin"/>
      </w:r>
      <w:r>
        <w:rPr>
          <w:sz w:val="26"/>
        </w:rPr>
        <w:instrText>HYPERLINK "https://docs.cntd.ru/document/744100004#A780N9"</w:instrText>
      </w:r>
      <w:r>
        <w:rPr>
          <w:sz w:val="26"/>
        </w:rPr>
        <w:fldChar w:fldCharType="separate"/>
      </w:r>
      <w:r>
        <w:rPr>
          <w:sz w:val="26"/>
        </w:rPr>
        <w:t>статьей 72 Земельного кодекса Российской Федерации</w:t>
      </w:r>
      <w:r>
        <w:rPr>
          <w:sz w:val="26"/>
        </w:rPr>
        <w:fldChar w:fldCharType="end"/>
      </w:r>
      <w:r>
        <w:rPr>
          <w:sz w:val="26"/>
        </w:rPr>
        <w:t>,  Фед</w:t>
      </w:r>
      <w:r>
        <w:rPr>
          <w:sz w:val="26"/>
        </w:rPr>
        <w:t>е</w:t>
      </w:r>
      <w:r>
        <w:rPr>
          <w:sz w:val="26"/>
        </w:rPr>
        <w:t>ральным законом от 6 октября 2003 года № 131-ФЗ «Об общих принципах организ</w:t>
      </w:r>
      <w:r>
        <w:rPr>
          <w:sz w:val="26"/>
        </w:rPr>
        <w:t>а</w:t>
      </w:r>
      <w:r>
        <w:rPr>
          <w:sz w:val="26"/>
        </w:rPr>
        <w:t>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Кирилловского муниципального округа, Представительное Собрание</w:t>
      </w:r>
    </w:p>
    <w:p w14:paraId="1E000000">
      <w:pPr>
        <w:ind/>
        <w:jc w:val="both"/>
        <w:rPr>
          <w:sz w:val="26"/>
        </w:rPr>
      </w:pPr>
      <w:r>
        <w:rPr>
          <w:b w:val="1"/>
          <w:sz w:val="26"/>
        </w:rPr>
        <w:t>РЕШИЛО:</w:t>
      </w:r>
      <w:r>
        <w:rPr>
          <w:b w:val="1"/>
          <w:sz w:val="26"/>
        </w:rPr>
        <w:br/>
      </w:r>
    </w:p>
    <w:p w14:paraId="1F000000">
      <w:pPr>
        <w:ind w:firstLine="480" w:left="0"/>
        <w:jc w:val="both"/>
        <w:rPr>
          <w:sz w:val="26"/>
        </w:rPr>
      </w:pPr>
      <w:r>
        <w:rPr>
          <w:sz w:val="26"/>
        </w:rPr>
        <w:t>1. Внести изменение в Положение о муниципальном земельном контроле на те</w:t>
      </w:r>
      <w:r>
        <w:rPr>
          <w:sz w:val="26"/>
        </w:rPr>
        <w:t>р</w:t>
      </w:r>
      <w:r>
        <w:rPr>
          <w:sz w:val="26"/>
        </w:rPr>
        <w:t>ритории Кирилловского муниципального округа, утвержденное решением Представ</w:t>
      </w:r>
      <w:r>
        <w:rPr>
          <w:sz w:val="26"/>
        </w:rPr>
        <w:t>и</w:t>
      </w:r>
      <w:r>
        <w:rPr>
          <w:sz w:val="26"/>
        </w:rPr>
        <w:t>тельного Собрания Кирилловского муниципального округа от 02.11.2023 № 38 (в р</w:t>
      </w:r>
      <w:r>
        <w:rPr>
          <w:sz w:val="26"/>
        </w:rPr>
        <w:t>е</w:t>
      </w:r>
      <w:r>
        <w:rPr>
          <w:sz w:val="26"/>
        </w:rPr>
        <w:t>дакции решения Представительного Собрания от 12.04.2024 № 148) изложив Прил</w:t>
      </w:r>
      <w:r>
        <w:rPr>
          <w:sz w:val="26"/>
        </w:rPr>
        <w:t>о</w:t>
      </w:r>
      <w:r>
        <w:rPr>
          <w:sz w:val="26"/>
        </w:rPr>
        <w:t>жение 3 к Положению о муниципальном земельном контроле на территории Кири</w:t>
      </w:r>
      <w:r>
        <w:rPr>
          <w:sz w:val="26"/>
        </w:rPr>
        <w:t>л</w:t>
      </w:r>
      <w:r>
        <w:rPr>
          <w:sz w:val="26"/>
        </w:rPr>
        <w:t>ловского муниципального округа в новой редакции согласно приложения к настоящ</w:t>
      </w:r>
      <w:r>
        <w:rPr>
          <w:sz w:val="26"/>
        </w:rPr>
        <w:t>е</w:t>
      </w:r>
      <w:r>
        <w:rPr>
          <w:sz w:val="26"/>
        </w:rPr>
        <w:t>му решению.</w:t>
      </w:r>
    </w:p>
    <w:p w14:paraId="20000000">
      <w:pPr>
        <w:ind w:firstLine="480" w:left="0"/>
        <w:jc w:val="both"/>
        <w:rPr>
          <w:sz w:val="26"/>
        </w:rPr>
      </w:pPr>
      <w:r>
        <w:rPr>
          <w:sz w:val="26"/>
        </w:rPr>
        <w:t>2. Настоящее решение подлежит официальному опубликованию, размещению на официальном сайте Кирилловского муниципального округа в информационно-телекоммуникационной сети «Интернет» и вступает в силу со дня его официального опубликования.</w:t>
      </w:r>
    </w:p>
    <w:p w14:paraId="21000000">
      <w:pPr>
        <w:ind w:firstLine="480" w:left="0"/>
        <w:jc w:val="both"/>
        <w:rPr>
          <w:sz w:val="26"/>
        </w:rPr>
      </w:pPr>
    </w:p>
    <w:p w14:paraId="22000000">
      <w:pPr>
        <w:ind w:firstLine="480" w:left="0"/>
        <w:jc w:val="both"/>
        <w:rPr>
          <w:sz w:val="26"/>
        </w:rPr>
      </w:pPr>
    </w:p>
    <w:p w14:paraId="23000000">
      <w:pPr>
        <w:ind w:firstLine="480" w:left="0"/>
        <w:jc w:val="both"/>
        <w:rPr>
          <w:sz w:val="2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5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6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Глава Кирилловского </w:t>
            </w:r>
          </w:p>
          <w:p w14:paraId="28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муниципального округа </w:t>
            </w:r>
          </w:p>
          <w:p w14:paraId="29000000">
            <w:pPr>
              <w:rPr>
                <w:sz w:val="26"/>
              </w:rPr>
            </w:pPr>
            <w:r>
              <w:rPr>
                <w:color w:val="000000"/>
                <w:sz w:val="26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6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sz w:val="26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6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color w:val="000000"/>
                <w:sz w:val="26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ind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sz w:val="26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6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А.Н.Тюляндин</w:t>
            </w:r>
          </w:p>
        </w:tc>
      </w:tr>
    </w:tbl>
    <w:p w14:paraId="32000000">
      <w:pPr>
        <w:ind w:firstLine="0" w:left="4961"/>
        <w:outlineLvl w:val="1"/>
        <w:rPr>
          <w:sz w:val="26"/>
        </w:rPr>
      </w:pPr>
    </w:p>
    <w:p w14:paraId="33000000">
      <w:pPr>
        <w:ind w:firstLine="0" w:left="4961"/>
        <w:outlineLvl w:val="1"/>
        <w:rPr>
          <w:sz w:val="26"/>
        </w:rPr>
      </w:pPr>
    </w:p>
    <w:p w14:paraId="34000000">
      <w:pPr>
        <w:ind w:firstLine="0" w:left="4961"/>
        <w:outlineLvl w:val="1"/>
        <w:rPr>
          <w:sz w:val="26"/>
        </w:rPr>
      </w:pPr>
    </w:p>
    <w:p w14:paraId="35000000">
      <w:pPr>
        <w:ind w:firstLine="0" w:left="4961"/>
        <w:outlineLvl w:val="1"/>
        <w:rPr>
          <w:sz w:val="26"/>
        </w:rPr>
      </w:pPr>
      <w:r>
        <w:rPr>
          <w:sz w:val="26"/>
        </w:rPr>
        <w:t>Приложение</w:t>
      </w:r>
    </w:p>
    <w:p w14:paraId="36000000">
      <w:pPr>
        <w:ind w:firstLine="0" w:left="4961"/>
        <w:outlineLvl w:val="1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решению Представительного Собр</w:t>
      </w:r>
      <w:r>
        <w:rPr>
          <w:sz w:val="26"/>
        </w:rPr>
        <w:t>а</w:t>
      </w:r>
      <w:r>
        <w:rPr>
          <w:sz w:val="26"/>
        </w:rPr>
        <w:t xml:space="preserve">ния </w:t>
      </w:r>
    </w:p>
    <w:p w14:paraId="37000000">
      <w:pPr>
        <w:ind w:firstLine="0" w:left="4961"/>
        <w:outlineLvl w:val="1"/>
        <w:rPr>
          <w:sz w:val="26"/>
        </w:rPr>
      </w:pPr>
      <w:r>
        <w:rPr>
          <w:sz w:val="26"/>
        </w:rPr>
        <w:t>от _____________ № ______</w:t>
      </w:r>
    </w:p>
    <w:p w14:paraId="38000000">
      <w:pPr>
        <w:ind w:firstLine="0" w:left="4961"/>
        <w:outlineLvl w:val="1"/>
        <w:rPr>
          <w:sz w:val="26"/>
        </w:rPr>
      </w:pPr>
    </w:p>
    <w:p w14:paraId="39000000">
      <w:pPr>
        <w:ind w:firstLine="708" w:left="4956"/>
        <w:outlineLvl w:val="1"/>
        <w:rPr>
          <w:sz w:val="26"/>
          <w:shd w:fill="F1C100" w:val="clear"/>
        </w:rPr>
      </w:pPr>
      <w:r>
        <w:rPr>
          <w:b w:val="1"/>
          <w:sz w:val="26"/>
        </w:rPr>
        <w:t>«</w:t>
      </w:r>
      <w:r>
        <w:rPr>
          <w:sz w:val="26"/>
        </w:rPr>
        <w:t>Приложение 3</w:t>
      </w:r>
    </w:p>
    <w:p w14:paraId="3A000000">
      <w:pPr>
        <w:ind w:firstLine="0" w:left="4820"/>
        <w:rPr>
          <w:sz w:val="26"/>
        </w:rPr>
      </w:pPr>
      <w:r>
        <w:rPr>
          <w:sz w:val="26"/>
        </w:rPr>
        <w:t xml:space="preserve">к Положению о муниципальном </w:t>
      </w:r>
    </w:p>
    <w:p w14:paraId="3B000000">
      <w:pPr>
        <w:ind w:firstLine="0" w:left="4820"/>
        <w:rPr>
          <w:sz w:val="26"/>
        </w:rPr>
      </w:pPr>
      <w:r>
        <w:rPr>
          <w:sz w:val="26"/>
        </w:rPr>
        <w:t>земельном контроле на территории Кири</w:t>
      </w:r>
      <w:r>
        <w:rPr>
          <w:sz w:val="26"/>
        </w:rPr>
        <w:t>л</w:t>
      </w:r>
      <w:r>
        <w:rPr>
          <w:sz w:val="26"/>
        </w:rPr>
        <w:t>ловского муниципального округа</w:t>
      </w:r>
    </w:p>
    <w:p w14:paraId="3C000000">
      <w:pPr>
        <w:widowControl w:val="0"/>
        <w:spacing w:line="240" w:lineRule="exact"/>
        <w:ind w:firstLine="720" w:left="0"/>
        <w:jc w:val="center"/>
        <w:rPr>
          <w:sz w:val="26"/>
          <w:shd w:fill="F1C100" w:val="clear"/>
        </w:rPr>
      </w:pPr>
    </w:p>
    <w:p w14:paraId="3D000000">
      <w:pPr>
        <w:widowControl w:val="0"/>
        <w:ind w:firstLine="720" w:left="0"/>
        <w:jc w:val="center"/>
        <w:rPr>
          <w:sz w:val="26"/>
          <w:shd w:fill="F1C100" w:val="clear"/>
        </w:rPr>
      </w:pPr>
    </w:p>
    <w:p w14:paraId="3E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Ключевые показатели и их целевые значения, </w:t>
      </w:r>
    </w:p>
    <w:p w14:paraId="3F000000">
      <w:pPr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индикативные показатели</w:t>
      </w:r>
    </w:p>
    <w:p w14:paraId="40000000">
      <w:pPr>
        <w:ind w:firstLine="709" w:left="0"/>
        <w:jc w:val="center"/>
        <w:rPr>
          <w:b w:val="1"/>
          <w:sz w:val="25"/>
        </w:rPr>
      </w:pPr>
      <w:r>
        <w:rPr>
          <w:b w:val="1"/>
          <w:sz w:val="25"/>
        </w:rPr>
        <w:t xml:space="preserve">по муниципальному земельному контролю </w:t>
      </w:r>
    </w:p>
    <w:p w14:paraId="41000000">
      <w:pPr>
        <w:ind w:firstLine="709" w:left="0"/>
        <w:jc w:val="center"/>
        <w:rPr>
          <w:b w:val="1"/>
          <w:sz w:val="25"/>
        </w:rPr>
      </w:pPr>
      <w:r>
        <w:rPr>
          <w:b w:val="1"/>
          <w:sz w:val="25"/>
        </w:rPr>
        <w:t>на территории Кирилловского муниципального округа</w:t>
      </w:r>
    </w:p>
    <w:p w14:paraId="42000000">
      <w:pPr>
        <w:ind w:firstLine="709" w:left="0"/>
        <w:jc w:val="center"/>
        <w:rPr>
          <w:sz w:val="25"/>
        </w:rPr>
      </w:pPr>
    </w:p>
    <w:p w14:paraId="43000000">
      <w:pPr>
        <w:tabs>
          <w:tab w:leader="none" w:pos="567" w:val="left"/>
        </w:tabs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1.Ключевые показатели и их целевые значения: </w:t>
      </w:r>
    </w:p>
    <w:tbl>
      <w:tblPr>
        <w:tblStyle w:val="Style_4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8090"/>
        <w:gridCol w:w="1247"/>
      </w:tblGrid>
      <w:tr>
        <w:tc>
          <w:tcPr>
            <w:tcW w:type="dxa" w:w="80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Ключевые показатели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Целевые</w:t>
            </w:r>
            <w:r>
              <w:rPr>
                <w:color w:val="000000"/>
                <w:sz w:val="21"/>
              </w:rPr>
              <w:br/>
            </w:r>
            <w:r>
              <w:rPr>
                <w:color w:val="000000"/>
                <w:sz w:val="21"/>
              </w:rPr>
              <w:t>знач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ном реестре 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движимости.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Соответствие использования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</w:t>
            </w:r>
            <w:r>
              <w:rPr>
                <w:color w:val="000000"/>
                <w:sz w:val="21"/>
              </w:rPr>
              <w:t>р</w:t>
            </w:r>
            <w:r>
              <w:rPr>
                <w:color w:val="000000"/>
                <w:sz w:val="21"/>
              </w:rPr>
              <w:t>ственном реестре недвижимости.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8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Отсутствие признаков негативных процессов на земельном участке, влияющих на с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стояние земель сельскохозяйственного назначения и уровень плодородия почвы (во</w:t>
            </w:r>
            <w:r>
              <w:rPr>
                <w:color w:val="000000"/>
                <w:sz w:val="21"/>
              </w:rPr>
              <w:t>д</w:t>
            </w:r>
            <w:r>
              <w:rPr>
                <w:color w:val="000000"/>
                <w:sz w:val="21"/>
              </w:rPr>
              <w:t>ная и ветровая эрозия, сели, подтопление, заболачивание, засоление, иссушение, уплотнение, загрязнение химическими</w:t>
            </w:r>
            <w:r>
              <w:rPr>
                <w:color w:val="000000"/>
                <w:sz w:val="21"/>
              </w:rPr>
              <w:t xml:space="preserve"> веществами, в том числе радиоактивными, иными веществами и микроорганизмами, загрязнение отходами производства и п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требления), зарастания земель сельскохозяйственного назначения сорной растительн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стью и (или) древесно-кустарниковой растительностью (в том числе борщевиком Со</w:t>
            </w:r>
            <w:r>
              <w:rPr>
                <w:color w:val="000000"/>
                <w:sz w:val="21"/>
              </w:rPr>
              <w:t>с</w:t>
            </w:r>
            <w:r>
              <w:rPr>
                <w:color w:val="000000"/>
                <w:sz w:val="21"/>
              </w:rPr>
              <w:t>новского).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50%</w:t>
            </w:r>
          </w:p>
        </w:tc>
      </w:tr>
    </w:tbl>
    <w:p w14:paraId="4C000000">
      <w:pPr>
        <w:spacing w:after="240" w:before="240"/>
        <w:ind/>
        <w:jc w:val="center"/>
        <w:rPr>
          <w:sz w:val="25"/>
        </w:rPr>
      </w:pPr>
      <w:r>
        <w:rPr>
          <w:color w:val="000000"/>
          <w:sz w:val="25"/>
        </w:rPr>
        <w:t>2. Индикативные показатели и их целевые значения</w:t>
      </w:r>
    </w:p>
    <w:tbl>
      <w:tblPr>
        <w:tblStyle w:val="Style_4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left w:type="dxa" w:w="0"/>
          <w:right w:type="dxa" w:w="0"/>
        </w:tblCellMar>
      </w:tblPr>
      <w:tblGrid>
        <w:gridCol w:w="3611"/>
        <w:gridCol w:w="2141"/>
        <w:gridCol w:w="2608"/>
        <w:gridCol w:w="975"/>
      </w:tblGrid>
      <w:tr>
        <w:tc>
          <w:tcPr>
            <w:tcW w:type="dxa" w:w="9335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spacing w:after="240" w:before="240"/>
              <w:ind w:firstLine="0" w:left="152"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2.1. Индикативные показатели, характеризующие параметры проведенных мероприятий, получе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ные расчетным путем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Ключевые показатели</w:t>
            </w:r>
          </w:p>
        </w:tc>
        <w:tc>
          <w:tcPr>
            <w:tcW w:type="dxa" w:w="474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Формула расчета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Целевые значения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spacing w:after="240" w:before="240"/>
              <w:ind w:firstLine="0" w:left="152"/>
              <w:rPr>
                <w:sz w:val="21"/>
              </w:rPr>
            </w:pPr>
            <w:r>
              <w:rPr>
                <w:color w:val="000000"/>
                <w:sz w:val="21"/>
              </w:rPr>
              <w:t>1.       Выполняемость плановых ко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трольных (надзорных) мероприятий (далее – КНМ), проведенных за о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четный период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Впл=(П/Рпл)*100%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Впл – выполняемость пл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новых КНМ</w:t>
            </w:r>
          </w:p>
          <w:p w14:paraId="5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П – количество плановых КНМ</w:t>
            </w:r>
          </w:p>
          <w:p w14:paraId="55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Рпл – количество распор</w:t>
            </w:r>
            <w:r>
              <w:rPr>
                <w:color w:val="000000"/>
                <w:sz w:val="21"/>
              </w:rPr>
              <w:t>я</w:t>
            </w:r>
            <w:r>
              <w:rPr>
                <w:color w:val="000000"/>
                <w:sz w:val="21"/>
              </w:rPr>
              <w:t>жений на проведение пл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новых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2.       Выполняемость внеплановых КНМ, проведенных за отчетный пер</w:t>
            </w:r>
            <w:r>
              <w:rPr>
                <w:color w:val="000000"/>
                <w:sz w:val="21"/>
              </w:rPr>
              <w:t>и</w:t>
            </w:r>
            <w:r>
              <w:rPr>
                <w:color w:val="000000"/>
                <w:sz w:val="21"/>
              </w:rPr>
              <w:t>од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Ввн=(ВН/Рвн)*100%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Ввн – выполняемость вн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плановых КНМ</w:t>
            </w:r>
          </w:p>
          <w:p w14:paraId="5A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ВН – количество внеплан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вых КНМ</w:t>
            </w:r>
          </w:p>
          <w:p w14:paraId="5B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Рвн – количество распор</w:t>
            </w:r>
            <w:r>
              <w:rPr>
                <w:color w:val="000000"/>
                <w:sz w:val="21"/>
              </w:rPr>
              <w:t>я</w:t>
            </w:r>
            <w:r>
              <w:rPr>
                <w:color w:val="000000"/>
                <w:sz w:val="21"/>
              </w:rPr>
              <w:t>жений на проведение вн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плановых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100%</w:t>
            </w:r>
          </w:p>
        </w:tc>
      </w:tr>
      <w:tr>
        <w:trPr>
          <w:trHeight w:hRule="atLeast" w:val="2828"/>
        </w:trPr>
        <w:tc>
          <w:tcPr>
            <w:tcW w:type="dxa" w:w="36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3.       Доля внеплановых КНМ, кот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рые не удалось провести в связи с о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сутствием правообладателя</w:t>
            </w:r>
          </w:p>
        </w:tc>
        <w:tc>
          <w:tcPr>
            <w:tcW w:type="dxa" w:w="2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Двн=КНМ*100/КНМпр</w:t>
            </w:r>
          </w:p>
        </w:tc>
        <w:tc>
          <w:tcPr>
            <w:tcW w:type="dxa" w:w="26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Двн – доля внеплановых КНМ</w:t>
            </w:r>
          </w:p>
          <w:p w14:paraId="60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КНМ – количество КНМ, не проведенные по причине отсутствия правообладателя</w:t>
            </w:r>
          </w:p>
          <w:p w14:paraId="61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КНМпр- количество пров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денных КНМ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30%</w:t>
            </w:r>
          </w:p>
        </w:tc>
      </w:tr>
      <w:tr>
        <w:tc>
          <w:tcPr>
            <w:tcW w:type="dxa" w:w="93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2.2. Перечень индикативных показателей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1.       Общее количество КНМ с взаимодействием, проведенных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2.       Количество КНМ с взаимодействием по каждому виду КНМ, проведенных за отче</w:t>
            </w:r>
            <w:r>
              <w:rPr>
                <w:color w:val="000000"/>
                <w:sz w:val="21"/>
              </w:rPr>
              <w:t>т</w:t>
            </w:r>
            <w:r>
              <w:rPr>
                <w:color w:val="000000"/>
                <w:sz w:val="21"/>
              </w:rPr>
              <w:t>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3.       Количество предостережений о недопустимости нарушения обязательных требов</w:t>
            </w:r>
            <w:r>
              <w:rPr>
                <w:color w:val="000000"/>
                <w:sz w:val="21"/>
              </w:rPr>
              <w:t>а</w:t>
            </w:r>
            <w:r>
              <w:rPr>
                <w:color w:val="000000"/>
                <w:sz w:val="21"/>
              </w:rPr>
              <w:t>ний, объявленных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4.       Количество КНМ, по результатам которых выявлены нарушения обязательных треб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ваний,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rPr>
          <w:trHeight w:hRule="atLeast" w:val="583"/>
        </w:trP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5.       Количество КНМ, по итогам которых возбуждены дела об административных прав</w:t>
            </w:r>
            <w:r>
              <w:rPr>
                <w:color w:val="000000"/>
                <w:sz w:val="21"/>
              </w:rPr>
              <w:t>о</w:t>
            </w:r>
            <w:r>
              <w:rPr>
                <w:color w:val="000000"/>
                <w:sz w:val="21"/>
              </w:rPr>
              <w:t>нарушениях, за отчетный год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6.       Сумма административных штрафов, наложенных по результатам КНМ,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руб.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7.       Количество направленных в органы прокуратуры заявлений о согласовании провед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 КНМ,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8.       Количество направленных в органы прокуратуры заявлений о согласовании провед</w:t>
            </w:r>
            <w:r>
              <w:rPr>
                <w:color w:val="000000"/>
                <w:sz w:val="21"/>
              </w:rPr>
              <w:t>е</w:t>
            </w:r>
            <w:r>
              <w:rPr>
                <w:color w:val="000000"/>
                <w:sz w:val="21"/>
              </w:rPr>
              <w:t>ния КНМ, по которым органами прокуратуры отказано в согласовании,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  <w:tr>
        <w:tc>
          <w:tcPr>
            <w:tcW w:type="dxa" w:w="836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="240" w:before="240"/>
              <w:ind/>
              <w:rPr>
                <w:sz w:val="21"/>
              </w:rPr>
            </w:pPr>
            <w:r>
              <w:rPr>
                <w:color w:val="000000"/>
                <w:sz w:val="21"/>
              </w:rPr>
              <w:t>9.       Количество жалоб, в отношении которых органом муниципального земельного ко</w:t>
            </w:r>
            <w:r>
              <w:rPr>
                <w:color w:val="000000"/>
                <w:sz w:val="21"/>
              </w:rPr>
              <w:t>н</w:t>
            </w:r>
            <w:r>
              <w:rPr>
                <w:color w:val="000000"/>
                <w:sz w:val="21"/>
              </w:rPr>
              <w:t>троля был нарушен срок рассмотрения, за отчетный период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00000">
            <w:pPr>
              <w:spacing w:after="240" w:before="240"/>
              <w:ind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шт.</w:t>
            </w:r>
          </w:p>
        </w:tc>
      </w:tr>
    </w:tbl>
    <w:p w14:paraId="76000000">
      <w:pPr>
        <w:ind w:firstLine="709" w:left="0"/>
        <w:rPr>
          <w:sz w:val="26"/>
        </w:rPr>
      </w:pPr>
    </w:p>
    <w:p w14:paraId="77000000">
      <w:pPr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tabs>
          <w:tab w:leader="none" w:pos="0" w:val="left"/>
        </w:tabs>
        <w:ind/>
        <w:rPr>
          <w:sz w:val="24"/>
        </w:rPr>
      </w:pPr>
    </w:p>
    <w:p w14:paraId="7A000000">
      <w:pPr>
        <w:tabs>
          <w:tab w:leader="none" w:pos="0" w:val="left"/>
        </w:tabs>
        <w:ind/>
        <w:rPr>
          <w:sz w:val="24"/>
        </w:rPr>
      </w:pPr>
    </w:p>
    <w:p w14:paraId="7B000000">
      <w:pPr>
        <w:tabs>
          <w:tab w:leader="none" w:pos="0" w:val="left"/>
        </w:tabs>
        <w:ind/>
        <w:rPr>
          <w:sz w:val="24"/>
        </w:rPr>
      </w:pPr>
    </w:p>
    <w:p w14:paraId="7C000000">
      <w:pPr>
        <w:tabs>
          <w:tab w:leader="none" w:pos="0" w:val="left"/>
        </w:tabs>
        <w:ind/>
        <w:rPr>
          <w:sz w:val="24"/>
        </w:rPr>
      </w:pPr>
    </w:p>
    <w:p w14:paraId="7D000000">
      <w:pPr>
        <w:tabs>
          <w:tab w:leader="none" w:pos="0" w:val="left"/>
        </w:tabs>
        <w:ind/>
        <w:rPr>
          <w:sz w:val="24"/>
        </w:rPr>
      </w:pPr>
    </w:p>
    <w:p w14:paraId="7E000000">
      <w:pPr>
        <w:tabs>
          <w:tab w:leader="none" w:pos="0" w:val="left"/>
        </w:tabs>
        <w:ind/>
        <w:rPr>
          <w:sz w:val="24"/>
        </w:rPr>
      </w:pPr>
    </w:p>
    <w:p w14:paraId="7F000000">
      <w:pPr>
        <w:rPr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567" w:footer="720" w:gutter="0" w:header="720" w:left="1701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rPr>
        <w:sz w:val="14"/>
      </w:rPr>
    </w:pPr>
    <w:r>
      <w:rPr>
        <w:sz w:val="14"/>
      </w:rPr>
      <w:t>17301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7000000">
    <w:pPr>
      <w:pStyle w:val="Style_2"/>
      <w:rPr>
        <w:sz w:val="14"/>
      </w:rPr>
    </w:pPr>
  </w:p>
  <w:p w14:paraId="08000000">
    <w:pPr>
      <w:pStyle w:val="Style_2"/>
      <w:rPr>
        <w:sz w:val="14"/>
      </w:rPr>
    </w:pPr>
  </w:p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No Spacing"/>
    <w:link w:val="Style_5_ch"/>
    <w:rPr>
      <w:rFonts w:ascii="Calibri" w:hAnsi="Calibri"/>
      <w:color w:val="000000"/>
      <w:sz w:val="22"/>
    </w:rPr>
  </w:style>
  <w:style w:styleId="Style_5_ch" w:type="character">
    <w:name w:val="No Spacing"/>
    <w:link w:val="Style_5"/>
    <w:rPr>
      <w:rFonts w:ascii="Calibri" w:hAnsi="Calibri"/>
      <w:color w:val="000000"/>
      <w:sz w:val="22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6_ch"/>
    <w:link w:val="Style_3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6"/>
    <w:next w:val="Style_6"/>
    <w:link w:val="Style_26_ch"/>
    <w:uiPriority w:val="9"/>
    <w:qFormat/>
    <w:pPr>
      <w:keepNext w:val="1"/>
      <w:ind/>
      <w:jc w:val="center"/>
      <w:outlineLvl w:val="1"/>
    </w:pPr>
    <w:rPr>
      <w:sz w:val="28"/>
    </w:rPr>
  </w:style>
  <w:style w:styleId="Style_26_ch" w:type="character">
    <w:name w:val="heading 2"/>
    <w:basedOn w:val="Style_6_ch"/>
    <w:link w:val="Style_26"/>
    <w:rPr>
      <w:sz w:val="28"/>
    </w:r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2024-09-13T06:22:18Z</dcterms:modified>
</cp:coreProperties>
</file>