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6096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УТВЕРЖДЕНО</w:t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pStyle w:val="873"/>
        <w:ind w:left="6096"/>
        <w:rPr>
          <w:sz w:val="27"/>
          <w:szCs w:val="27"/>
        </w:rPr>
      </w:pPr>
      <w:r>
        <w:rPr>
          <w:sz w:val="27"/>
          <w:szCs w:val="27"/>
        </w:rPr>
        <w:t xml:space="preserve">решением Пре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ставительного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3"/>
        <w:ind w:left="6096"/>
        <w:rPr>
          <w:sz w:val="27"/>
          <w:szCs w:val="27"/>
        </w:rPr>
      </w:pPr>
      <w:r>
        <w:rPr>
          <w:sz w:val="27"/>
          <w:szCs w:val="27"/>
        </w:rPr>
        <w:t xml:space="preserve">Собрания округа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3"/>
        <w:ind w:left="6096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 xml:space="preserve">10.04.2025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  <w:u w:val="single"/>
        </w:rPr>
        <w:t xml:space="preserve">259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3"/>
        <w:ind w:left="6096"/>
        <w:rPr>
          <w:sz w:val="27"/>
          <w:szCs w:val="27"/>
        </w:rPr>
      </w:pPr>
      <w:r>
        <w:rPr>
          <w:sz w:val="27"/>
          <w:szCs w:val="27"/>
        </w:rPr>
        <w:t xml:space="preserve">(приложение)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right="-907"/>
        <w:tabs>
          <w:tab w:val="left" w:pos="3780" w:leader="none"/>
        </w:tabs>
        <w:rPr>
          <w:b/>
          <w:bCs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</w:r>
    </w:p>
    <w:p>
      <w:pPr>
        <w:ind w:right="-907"/>
        <w:jc w:val="center"/>
        <w:tabs>
          <w:tab w:val="left" w:pos="3780" w:leader="none"/>
        </w:tabs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right="-907"/>
        <w:jc w:val="center"/>
        <w:tabs>
          <w:tab w:val="left" w:pos="3780" w:leader="none"/>
        </w:tabs>
        <w:rPr>
          <w:b/>
          <w:bCs/>
          <w:highlight w:val="none"/>
        </w:rPr>
      </w:pPr>
      <w:r>
        <w:rPr>
          <w:b/>
        </w:rPr>
        <w:t xml:space="preserve">Отч</w:t>
      </w:r>
      <w:r>
        <w:rPr>
          <w:b/>
        </w:rPr>
        <w:t xml:space="preserve">е</w:t>
      </w:r>
      <w:r>
        <w:rPr>
          <w:b/>
        </w:rPr>
        <w:t xml:space="preserve">т</w:t>
      </w:r>
      <w:r>
        <w:rPr>
          <w:b/>
        </w:rPr>
        <w:t xml:space="preserve"> </w:t>
      </w:r>
      <w:r/>
      <w:r>
        <w:rPr>
          <w:b/>
        </w:rPr>
        <w:t xml:space="preserve">о работе </w:t>
      </w:r>
      <w:r>
        <w:rPr>
          <w:b/>
        </w:rPr>
        <w:t xml:space="preserve">к</w:t>
      </w:r>
      <w:r>
        <w:rPr>
          <w:b/>
        </w:rPr>
        <w:t xml:space="preserve">онтрольно-сче</w:t>
      </w:r>
      <w:r>
        <w:rPr>
          <w:b/>
        </w:rPr>
        <w:t xml:space="preserve">тно</w:t>
      </w:r>
      <w:r>
        <w:rPr>
          <w:b/>
        </w:rPr>
        <w:t xml:space="preserve">го</w:t>
      </w:r>
      <w:r>
        <w:rPr>
          <w:b/>
        </w:rPr>
        <w:t xml:space="preserve"> коми</w:t>
      </w:r>
      <w:r>
        <w:rPr>
          <w:b/>
        </w:rPr>
        <w:t xml:space="preserve">тета</w:t>
      </w:r>
      <w:r>
        <w:rPr>
          <w:b/>
        </w:rPr>
        <w:t xml:space="preserve"> </w:t>
      </w:r>
      <w:r>
        <w:rPr>
          <w:b/>
          <w:bCs/>
          <w:highlight w:val="none"/>
        </w:rPr>
      </w:r>
    </w:p>
    <w:p>
      <w:pPr>
        <w:ind w:right="-907"/>
        <w:jc w:val="center"/>
        <w:tabs>
          <w:tab w:val="left" w:pos="3780" w:leader="none"/>
        </w:tabs>
        <w:rPr>
          <w:b/>
          <w:bCs/>
          <w:highlight w:val="none"/>
        </w:rPr>
      </w:pPr>
      <w:r>
        <w:rPr>
          <w:b/>
        </w:rPr>
      </w:r>
      <w:r>
        <w:rPr>
          <w:b/>
        </w:rPr>
        <w:t xml:space="preserve">Кирилловского</w:t>
      </w:r>
      <w:r>
        <w:rPr>
          <w:b/>
        </w:rPr>
        <w:t xml:space="preserve"> муниципального округа</w:t>
      </w:r>
      <w:r>
        <w:rPr>
          <w:b/>
        </w:rPr>
        <w:t xml:space="preserve"> </w:t>
      </w:r>
      <w:r>
        <w:rPr>
          <w:b/>
        </w:rPr>
        <w:t xml:space="preserve">за 20</w:t>
      </w:r>
      <w:r>
        <w:rPr>
          <w:b/>
        </w:rPr>
        <w:t xml:space="preserve">2</w:t>
      </w:r>
      <w:r>
        <w:rPr>
          <w:b/>
        </w:rPr>
        <w:t xml:space="preserve">4</w:t>
      </w:r>
      <w:r>
        <w:rPr>
          <w:b/>
        </w:rPr>
        <w:t xml:space="preserve"> год</w:t>
      </w:r>
      <w:r>
        <w:rPr>
          <w:b/>
          <w:bCs/>
          <w:highlight w:val="none"/>
        </w:rPr>
      </w:r>
      <w:r/>
    </w:p>
    <w:p>
      <w:pPr>
        <w:pStyle w:val="887"/>
        <w:jc w:val="center"/>
        <w:spacing w:after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</w:r>
      <w:r>
        <w:rPr>
          <w:b/>
          <w:bCs/>
        </w:rPr>
      </w:r>
    </w:p>
    <w:p>
      <w:pPr>
        <w:pStyle w:val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Отч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 о деятельности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онтрольно-сч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тно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комитета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ирилловского</w:t>
      </w:r>
      <w:r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за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подготовлен в соот</w:t>
      </w:r>
      <w:r>
        <w:rPr>
          <w:sz w:val="24"/>
          <w:szCs w:val="24"/>
        </w:rPr>
        <w:t xml:space="preserve">ветствии с требованиями </w:t>
      </w:r>
      <w:r>
        <w:rPr>
          <w:sz w:val="24"/>
          <w:szCs w:val="24"/>
        </w:rPr>
        <w:t xml:space="preserve"> ст. 19 Федерального закона  от 07.02.2011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</w:t>
      </w:r>
      <w:r>
        <w:rPr>
          <w:sz w:val="24"/>
          <w:szCs w:val="24"/>
        </w:rPr>
        <w:t xml:space="preserve">, федеральных территорий</w:t>
      </w:r>
      <w:r>
        <w:rPr>
          <w:sz w:val="24"/>
          <w:szCs w:val="24"/>
        </w:rPr>
        <w:t xml:space="preserve"> и му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иципальных образований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(далее по тексту - Федеральный закон от 07.02.2011 № 6-ФЗ)</w:t>
      </w:r>
      <w:r>
        <w:rPr>
          <w:sz w:val="24"/>
          <w:szCs w:val="24"/>
        </w:rPr>
        <w:t xml:space="preserve"> и содержит обобщенную информацию о результатах контрольных и экспертно-аналитических мероприятий, исполнения иных предусмотренных законодательством полномочий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sub_40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сведения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Полн</w:t>
      </w:r>
      <w:r>
        <w:rPr>
          <w:rFonts w:ascii="Times New Roman" w:hAnsi="Times New Roman" w:cs="Times New Roman"/>
          <w:sz w:val="24"/>
          <w:szCs w:val="24"/>
        </w:rPr>
        <w:t xml:space="preserve">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онтроль</w:t>
      </w:r>
      <w:r>
        <w:rPr>
          <w:rFonts w:ascii="Times New Roman" w:hAnsi="Times New Roman" w:cs="Times New Roman"/>
          <w:sz w:val="24"/>
          <w:szCs w:val="24"/>
        </w:rPr>
        <w:t xml:space="preserve">но-сч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контрольно-счетный комитет)</w:t>
      </w:r>
      <w:r>
        <w:rPr>
          <w:rFonts w:ascii="Times New Roman" w:hAnsi="Times New Roman" w:cs="Times New Roman"/>
          <w:sz w:val="24"/>
          <w:szCs w:val="24"/>
        </w:rPr>
        <w:t xml:space="preserve"> определены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Бюджетным кодексом Р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07.02.2011</w:t>
      </w:r>
      <w:r>
        <w:rPr>
          <w:rFonts w:ascii="Times New Roman" w:hAnsi="Times New Roman" w:cs="Times New Roman"/>
          <w:sz w:val="24"/>
          <w:szCs w:val="24"/>
        </w:rPr>
        <w:t xml:space="preserve"> № 6-ФЗ,</w:t>
      </w:r>
      <w:r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о контрольно-счетном комитете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>
        <w:rPr>
          <w:rFonts w:ascii="Times New Roman" w:hAnsi="Times New Roman" w:cs="Times New Roman"/>
          <w:sz w:val="24"/>
          <w:szCs w:val="24"/>
        </w:rPr>
        <w:t xml:space="preserve">Кирилловском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округе.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Контрольно-счетный комитет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ст. 12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07.02.2011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6-ФЗ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в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оду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Плана работы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приказом от</w:t>
      </w:r>
      <w:r>
        <w:rPr>
          <w:rFonts w:ascii="Times New Roman" w:hAnsi="Times New Roman" w:cs="Times New Roman"/>
          <w:sz w:val="24"/>
          <w:szCs w:val="24"/>
        </w:rPr>
        <w:t xml:space="preserve"> 09.01.2024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В течен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года в план работы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вносились </w:t>
      </w:r>
      <w:r>
        <w:rPr>
          <w:rFonts w:ascii="Times New Roman" w:hAnsi="Times New Roman" w:cs="Times New Roman"/>
          <w:sz w:val="24"/>
          <w:szCs w:val="24"/>
        </w:rPr>
        <w:t xml:space="preserve">четыре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Контрольно-счетный комитет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 возложенные на него полномочия по внешнему муниципальному финансовому контролю в форме контрольных и экспертно-аналитических мероприятий.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Контрольно-</w:t>
      </w:r>
      <w:r>
        <w:rPr>
          <w:rFonts w:ascii="Times New Roman" w:hAnsi="Times New Roman" w:cs="Times New Roman"/>
          <w:bCs/>
          <w:sz w:val="24"/>
          <w:szCs w:val="24"/>
        </w:rPr>
        <w:t xml:space="preserve">счетным комитетом разработано 14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стандартов внешнего муниципального финансового контроля, которые применяются при исполнении полномочий.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bCs/>
        </w:rPr>
      </w:pPr>
      <w:r>
        <w:rPr>
          <w:bCs/>
        </w:rPr>
        <w:t xml:space="preserve">           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 xml:space="preserve">            В 202</w:t>
      </w:r>
      <w:r>
        <w:rPr>
          <w:bCs/>
        </w:rPr>
        <w:t xml:space="preserve">4</w:t>
      </w:r>
      <w:r>
        <w:rPr>
          <w:bCs/>
        </w:rPr>
        <w:t xml:space="preserve"> г</w:t>
      </w:r>
      <w:r>
        <w:rPr>
          <w:bCs/>
        </w:rPr>
        <w:t xml:space="preserve">оду</w:t>
      </w:r>
      <w:r>
        <w:rPr>
          <w:bCs/>
        </w:rPr>
        <w:t xml:space="preserve"> </w:t>
      </w:r>
      <w:r>
        <w:rPr>
          <w:bCs/>
        </w:rPr>
        <w:t xml:space="preserve">контрольно-счетный комитет</w:t>
      </w:r>
      <w:r>
        <w:rPr>
          <w:bCs/>
        </w:rPr>
        <w:t xml:space="preserve"> округа</w:t>
      </w:r>
      <w:r>
        <w:rPr>
          <w:bCs/>
        </w:rPr>
        <w:t xml:space="preserve"> одновременно осуществлял к</w:t>
      </w:r>
      <w:r>
        <w:rPr>
          <w:bCs/>
        </w:rPr>
        <w:t xml:space="preserve">о</w:t>
      </w:r>
      <w:r>
        <w:rPr>
          <w:bCs/>
        </w:rPr>
        <w:t xml:space="preserve">нтроль</w:t>
      </w:r>
      <w:r>
        <w:rPr>
          <w:bCs/>
        </w:rPr>
        <w:t xml:space="preserve"> бюджета</w:t>
      </w:r>
      <w:r>
        <w:rPr>
          <w:bCs/>
        </w:rPr>
        <w:t xml:space="preserve">: на 202</w:t>
      </w:r>
      <w:r>
        <w:rPr>
          <w:bCs/>
        </w:rPr>
        <w:t xml:space="preserve">5</w:t>
      </w:r>
      <w:r>
        <w:rPr>
          <w:bCs/>
        </w:rPr>
        <w:t xml:space="preserve"> год и пла</w:t>
      </w:r>
      <w:r>
        <w:rPr>
          <w:bCs/>
        </w:rPr>
        <w:t xml:space="preserve">новый период 202</w:t>
      </w:r>
      <w:r>
        <w:rPr>
          <w:bCs/>
        </w:rPr>
        <w:t xml:space="preserve">6</w:t>
      </w:r>
      <w:r>
        <w:rPr>
          <w:bCs/>
        </w:rPr>
        <w:t xml:space="preserve">-202</w:t>
      </w:r>
      <w:r>
        <w:rPr>
          <w:bCs/>
        </w:rPr>
        <w:t xml:space="preserve">7</w:t>
      </w:r>
      <w:r>
        <w:rPr>
          <w:bCs/>
        </w:rPr>
        <w:t xml:space="preserve"> годов  (</w:t>
      </w:r>
      <w:r>
        <w:rPr>
          <w:bCs/>
        </w:rPr>
        <w:t xml:space="preserve">на стадии рассмотрения и утверждения), на 202</w:t>
      </w:r>
      <w:r>
        <w:rPr>
          <w:bCs/>
        </w:rPr>
        <w:t xml:space="preserve">4</w:t>
      </w:r>
      <w:r>
        <w:rPr>
          <w:bCs/>
        </w:rPr>
        <w:t xml:space="preserve"> год (текущее исполнение) и </w:t>
      </w:r>
      <w:r>
        <w:rPr>
          <w:bCs/>
        </w:rPr>
        <w:t xml:space="preserve">за</w:t>
      </w:r>
      <w:r>
        <w:rPr>
          <w:bCs/>
        </w:rPr>
        <w:t xml:space="preserve"> 202</w:t>
      </w:r>
      <w:r>
        <w:rPr>
          <w:bCs/>
        </w:rPr>
        <w:t xml:space="preserve">3</w:t>
      </w:r>
      <w:r>
        <w:rPr>
          <w:bCs/>
        </w:rPr>
        <w:t xml:space="preserve"> год (исполнение за отчетный финансовый год).</w:t>
      </w:r>
      <w:r>
        <w:rPr>
          <w:bCs/>
        </w:rPr>
      </w:r>
      <w:r>
        <w:rPr>
          <w:bCs/>
        </w:rPr>
      </w:r>
    </w:p>
    <w:p>
      <w:pPr>
        <w:pStyle w:val="8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Приоритетным видом деятельности контрольно-счетного комитета в отчетном году оставалась экспертная работа, которая была направлена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то, чтобы помогать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действенно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му выполнению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намеченных мер, снижени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рисков и затрат бюджетных ресурсов на стадии принятия муниципальных правовых актов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Анализ мероприятий, проведенных в 202</w:t>
      </w:r>
      <w:r>
        <w:rPr>
          <w:rFonts w:ascii="Times New Roman" w:hAnsi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году, представлен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таблице №1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8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Таблица №1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Style w:val="89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693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Экспертно-анали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тические мероприятия всего, в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ч.: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Заключения на исполнение бюджетов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Заключения на внесение изменений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бюджет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Заключения на исполнение бюджетов за 1 квартал, полугодие и 9 мес.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на проект бюджета округа на 2025 г. и плановый период 2026-2027 гг.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мероприятия всего, в т.ч.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8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планом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062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t xml:space="preserve">Для определения установленных нарушений применяется Классификатор нарушений, одобренный</w:t>
      </w:r>
      <w:r>
        <w:t xml:space="preserve"> Коллегией</w:t>
      </w:r>
      <w:r>
        <w:t xml:space="preserve"> Счетной палат</w:t>
      </w:r>
      <w:r>
        <w:t xml:space="preserve">ы</w:t>
      </w:r>
      <w:r>
        <w:t xml:space="preserve"> Р</w:t>
      </w:r>
      <w:r>
        <w:t xml:space="preserve">оссийской Федерации</w:t>
      </w:r>
      <w:r>
        <w:t xml:space="preserve">  и рекомендованный Счетной палатой Р</w:t>
      </w:r>
      <w:r>
        <w:t xml:space="preserve">оссийской Федерации</w:t>
      </w:r>
      <w:r>
        <w:t xml:space="preserve"> к использованию органами муниципального финансового контроля</w:t>
      </w:r>
      <w:r>
        <w:t xml:space="preserve">. Каждое</w:t>
      </w:r>
      <w:r>
        <w:t xml:space="preserve"> выявленное нарушение классифицируется по определенной группе нарушений и учитывается в количественном или в суммовом выражении.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контрольно-счетный комитет</w:t>
      </w:r>
      <w:r>
        <w:rPr>
          <w:rFonts w:ascii="Times New Roman" w:hAnsi="Times New Roman" w:cs="Times New Roman"/>
          <w:sz w:val="24"/>
          <w:szCs w:val="24"/>
        </w:rPr>
        <w:t xml:space="preserve"> возложено полномочие по составлению протоколов об административных правонарушениях в бюджетной сфере. По результатам проведения экспертно-аналитических и контрольных ме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риятий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составлено восемь</w:t>
      </w:r>
      <w:r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Экспертно-аналитическая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Важным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работе контрольно-счетного комитета в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году оставалась экспертно-аналитическая деятельность, в рамках которой проводилась финансово-экономическая экспертиза поступивших проектов решений Представительного Собрания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отдельные экспертно-аналитические мероприятия. </w:t>
      </w:r>
      <w:r>
        <w:rPr>
          <w:rFonts w:ascii="Times New Roman" w:hAnsi="Times New Roman" w:cs="Times New Roman"/>
          <w:sz w:val="24"/>
          <w:szCs w:val="24"/>
        </w:rPr>
        <w:t xml:space="preserve">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 2024</w:t>
      </w:r>
      <w:r>
        <w:rPr>
          <w:rFonts w:ascii="Times New Roman" w:hAnsi="Times New Roman" w:cs="Times New Roman"/>
          <w:sz w:val="24"/>
          <w:szCs w:val="24"/>
        </w:rPr>
        <w:t xml:space="preserve"> году контрольно-счетным комитетом было 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 по результатам которых были подготовлены заключения,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экспертизе проектов решений о местном бюджете  и внесение изменений в бюджет -</w:t>
      </w:r>
      <w:r>
        <w:rPr>
          <w:rFonts w:ascii="Times New Roman" w:hAnsi="Times New Roman" w:cs="Times New Roman"/>
          <w:sz w:val="24"/>
          <w:szCs w:val="24"/>
        </w:rPr>
        <w:t xml:space="preserve">7 мероприятий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анализу исполнения бюджета -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мероприятия;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подготовке заключения на годовой отчет об исполнении местного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мероприятий;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экспертизе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т.ч. их проектов) –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Подготовлено </w:t>
      </w:r>
      <w:r>
        <w:rPr>
          <w:rFonts w:ascii="Times New Roman" w:hAnsi="Times New Roman" w:cs="Times New Roman"/>
          <w:sz w:val="24"/>
          <w:szCs w:val="24"/>
        </w:rPr>
        <w:t xml:space="preserve">26 заключений, из них 18</w:t>
      </w:r>
      <w:r>
        <w:rPr>
          <w:rFonts w:ascii="Times New Roman" w:hAnsi="Times New Roman" w:cs="Times New Roman"/>
          <w:sz w:val="24"/>
          <w:szCs w:val="24"/>
        </w:rPr>
        <w:t xml:space="preserve"> заключений подготовлено согласно положений бюджетного законодательства.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264.4 Бюджетного кодекса Российской Федерации и Положения о бюджетном процессе проведена внешняя проверка отчетности </w:t>
      </w:r>
      <w:r>
        <w:rPr>
          <w:rFonts w:ascii="Times New Roman" w:hAnsi="Times New Roman" w:cs="Times New Roman"/>
          <w:sz w:val="24"/>
          <w:szCs w:val="24"/>
        </w:rPr>
        <w:t xml:space="preserve">главных администраторов бюджетных средств и отчетов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 и бюджетов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2023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Целью проверки</w:t>
      </w:r>
      <w:r>
        <w:rPr>
          <w:rFonts w:ascii="Times New Roman" w:hAnsi="Times New Roman" w:cs="Times New Roman"/>
          <w:sz w:val="24"/>
          <w:szCs w:val="24"/>
        </w:rPr>
        <w:t xml:space="preserve"> являлось проведение оценки достоверности данных годовой бюджетной отчетности.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достоверности проводилась на основании представленных форм бюджетной отчетнос</w:t>
      </w:r>
      <w:r>
        <w:rPr>
          <w:rFonts w:ascii="Times New Roman" w:hAnsi="Times New Roman" w:cs="Times New Roman"/>
          <w:sz w:val="24"/>
          <w:szCs w:val="24"/>
        </w:rPr>
        <w:t xml:space="preserve">ти.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главных администраторов установлено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несоблюдение требований </w:t>
      </w:r>
      <w:r>
        <w:rPr>
          <w:rFonts w:ascii="Times New Roman" w:hAnsi="Times New Roman" w:cs="Times New Roman"/>
          <w:sz w:val="24"/>
          <w:szCs w:val="24"/>
        </w:rPr>
        <w:t xml:space="preserve">отдельных пунктов</w:t>
      </w:r>
      <w:r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</w:t>
      </w:r>
      <w:r>
        <w:rPr>
          <w:rFonts w:ascii="Times New Roman" w:hAnsi="Times New Roman" w:cs="Times New Roman"/>
          <w:sz w:val="24"/>
          <w:szCs w:val="24"/>
        </w:rPr>
        <w:t xml:space="preserve">при заполнении отдельных таблиц и приложений Пояснительной записки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ноябре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года  проведен анализ показателей проекта бюджета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годов, в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срок подготовлен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на проект решени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>
        <w:rPr>
          <w:rFonts w:ascii="Times New Roman" w:hAnsi="Times New Roman" w:cs="Times New Roman"/>
          <w:sz w:val="24"/>
          <w:szCs w:val="24"/>
        </w:rPr>
        <w:t xml:space="preserve">.  В ходе экспертизы была дана оценка реалистичности бюджетных проектировок по всем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объемов и ограничений.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всех проведенных экспертно-а</w:t>
      </w:r>
      <w:r>
        <w:rPr>
          <w:rFonts w:ascii="Times New Roman" w:hAnsi="Times New Roman" w:cs="Times New Roman"/>
          <w:sz w:val="24"/>
          <w:szCs w:val="24"/>
        </w:rPr>
        <w:t xml:space="preserve">налитических мероприятий за 2024</w:t>
      </w:r>
      <w:r>
        <w:rPr>
          <w:rFonts w:ascii="Times New Roman" w:hAnsi="Times New Roman" w:cs="Times New Roman"/>
          <w:sz w:val="24"/>
          <w:szCs w:val="24"/>
        </w:rPr>
        <w:t xml:space="preserve"> год подготовлено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 нарушений 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и исполнении   бюджетов</w:t>
      </w:r>
      <w:r>
        <w:rPr>
          <w:rFonts w:ascii="Times New Roman" w:hAnsi="Times New Roman" w:cs="Times New Roman"/>
          <w:sz w:val="24"/>
          <w:szCs w:val="24"/>
        </w:rPr>
        <w:t xml:space="preserve"> без суммового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Выявлено 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недостатков при 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планировании и использовании бюджетных средств и имущества.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Заключения контрольно-счетного комитета, в которых были даны предложения по устранению нарушений законодательства, направл</w:t>
      </w:r>
      <w:r>
        <w:rPr>
          <w:rFonts w:ascii="Times New Roman" w:hAnsi="Times New Roman" w:cs="Times New Roman"/>
          <w:sz w:val="24"/>
          <w:szCs w:val="24"/>
        </w:rPr>
        <w:t xml:space="preserve">ялись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редставительное 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округа. В принятых в 2024</w:t>
      </w:r>
      <w:r>
        <w:rPr>
          <w:rFonts w:ascii="Times New Roman" w:hAnsi="Times New Roman" w:cs="Times New Roman"/>
          <w:sz w:val="24"/>
          <w:szCs w:val="24"/>
        </w:rPr>
        <w:t xml:space="preserve"> году решениях Представительного Собрания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учтены предложения и замечания контрольно-счетного комитета по результатам экспертно-аналитических мероприятий. </w:t>
      </w:r>
      <w:r>
        <w:rPr>
          <w:rFonts w:ascii="Times New Roman" w:hAnsi="Times New Roman" w:cs="Times New Roman"/>
          <w:sz w:val="24"/>
          <w:szCs w:val="24"/>
        </w:rPr>
        <w:t xml:space="preserve">Все нарушения и недостатки устранены.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Контрольная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Контрольная деятельность в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осуществлялась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контрольно-счетном комитете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ланом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контрольно-счетного комитета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5"/>
        <w:jc w:val="both"/>
        <w:rPr>
          <w:color w:val="000000" w:themeColor="text1"/>
        </w:rPr>
      </w:pPr>
      <w:r>
        <w:rPr>
          <w:color w:val="000000" w:themeColor="text1"/>
        </w:rPr>
        <w:t xml:space="preserve">В ходе контрольных мероприятий контрольно-счетным комитетом осуществлялся контроль за законностью, результативностью и эффективностью использования средств бюджета </w:t>
      </w:r>
      <w:r>
        <w:rPr>
          <w:color w:val="000000" w:themeColor="text1"/>
        </w:rPr>
        <w:t xml:space="preserve">округа, </w:t>
      </w:r>
      <w:r>
        <w:rPr>
          <w:color w:val="000000" w:themeColor="text1"/>
        </w:rPr>
        <w:t xml:space="preserve">соблюдением установленного порядка управления и распоряжения имуществом, находящимся в муниципальной собственности.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контрольных мероприяти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контрольно-счетным комитетом  проверено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объекта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 xml:space="preserve">- в сфере зак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пок.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в отчетном</w:t>
      </w:r>
      <w:r>
        <w:rPr>
          <w:rFonts w:ascii="Times New Roman" w:hAnsi="Times New Roman" w:cs="Times New Roman"/>
          <w:sz w:val="24"/>
          <w:szCs w:val="24"/>
        </w:rPr>
        <w:t xml:space="preserve"> году контрольных мероприятий составлено </w:t>
      </w:r>
      <w:r>
        <w:rPr>
          <w:rFonts w:ascii="Times New Roman" w:hAnsi="Times New Roman" w:cs="Times New Roman"/>
          <w:sz w:val="24"/>
          <w:szCs w:val="24"/>
        </w:rPr>
        <w:t xml:space="preserve">22 акта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отчетов.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Объем проверенных бюджетных средств  и стоимости имущества составил </w:t>
      </w:r>
      <w:r>
        <w:rPr>
          <w:rFonts w:ascii="Times New Roman" w:hAnsi="Times New Roman" w:cs="Times New Roman"/>
          <w:sz w:val="24"/>
          <w:szCs w:val="24"/>
        </w:rPr>
        <w:t xml:space="preserve">3607,0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млн</w:t>
      </w:r>
      <w:r>
        <w:rPr>
          <w:rFonts w:ascii="Times New Roman" w:hAnsi="Times New Roman" w:cs="Times New Roman"/>
          <w:sz w:val="24"/>
          <w:szCs w:val="24"/>
        </w:rPr>
        <w:t xml:space="preserve">. рублей.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ходе контрольных мероприятий в отчетном году установлены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и муниципальных правовых актов при планировании и использовании бюджетных средств и муниципального 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</w:t>
      </w:r>
      <w:r>
        <w:rPr>
          <w:rFonts w:ascii="Times New Roman" w:hAnsi="Times New Roman" w:cs="Times New Roman"/>
          <w:sz w:val="24"/>
          <w:szCs w:val="24"/>
        </w:rPr>
        <w:t xml:space="preserve"> ед., </w:t>
      </w:r>
      <w:r>
        <w:rPr>
          <w:rFonts w:ascii="Times New Roman" w:hAnsi="Times New Roman" w:cs="Times New Roman"/>
          <w:sz w:val="24"/>
          <w:szCs w:val="24"/>
        </w:rPr>
        <w:t xml:space="preserve">на сумму 1691,7 тыс.рублей</w:t>
      </w:r>
      <w:r>
        <w:rPr>
          <w:rFonts w:ascii="Times New Roman" w:hAnsi="Times New Roman" w:cs="Times New Roman"/>
          <w:sz w:val="24"/>
          <w:szCs w:val="24"/>
        </w:rPr>
        <w:t xml:space="preserve">. В</w:t>
      </w:r>
      <w:r>
        <w:rPr>
          <w:rFonts w:ascii="Times New Roman" w:hAnsi="Times New Roman" w:cs="Times New Roman"/>
          <w:sz w:val="24"/>
          <w:szCs w:val="24"/>
        </w:rPr>
        <w:t xml:space="preserve">ыявлено недостатков </w:t>
      </w:r>
      <w:r>
        <w:rPr>
          <w:rFonts w:ascii="Times New Roman" w:hAnsi="Times New Roman" w:cs="Times New Roman"/>
          <w:sz w:val="24"/>
          <w:szCs w:val="24"/>
        </w:rPr>
        <w:t xml:space="preserve">при планировании и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использовании бюджетных средств и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, их них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эффективно</w:t>
      </w:r>
      <w:r>
        <w:rPr>
          <w:rFonts w:ascii="Times New Roman" w:hAnsi="Times New Roman" w:cs="Times New Roman"/>
          <w:sz w:val="24"/>
          <w:szCs w:val="24"/>
        </w:rPr>
        <w:t xml:space="preserve">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 xml:space="preserve">249,4</w:t>
      </w:r>
      <w:r>
        <w:rPr>
          <w:rFonts w:ascii="Times New Roman" w:hAnsi="Times New Roman" w:cs="Times New Roman"/>
          <w:sz w:val="24"/>
          <w:szCs w:val="24"/>
        </w:rPr>
        <w:t xml:space="preserve"> тыс. руб.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иные недостатки на сумму 0,0 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проведении контрольных мероприятий в программы контрольных мероприятий одним из вопросов включался аудит в сфере закупок. </w:t>
      </w:r>
      <w:r>
        <w:rPr>
          <w:rFonts w:ascii="Times New Roman" w:hAnsi="Times New Roman" w:cs="Times New Roman"/>
          <w:sz w:val="24"/>
          <w:szCs w:val="24"/>
        </w:rPr>
        <w:t xml:space="preserve">Выявлено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нарушений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о контрактной системе.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Все выявленные </w:t>
      </w:r>
      <w:r>
        <w:rPr>
          <w:rFonts w:ascii="Times New Roman" w:hAnsi="Times New Roman" w:cs="Times New Roman"/>
          <w:sz w:val="24"/>
          <w:szCs w:val="24"/>
        </w:rPr>
        <w:t xml:space="preserve"> в ходе контрольных мероприятий нарушения отражаются в актах и отчетах. Отчеты о результатах контрольных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представлялись</w:t>
      </w:r>
      <w:r>
        <w:rPr>
          <w:rFonts w:ascii="Times New Roman" w:hAnsi="Times New Roman" w:cs="Times New Roman"/>
          <w:sz w:val="24"/>
          <w:szCs w:val="24"/>
        </w:rPr>
        <w:t xml:space="preserve"> главе округа и  в прокуратуру района для правовой оценки выявленных нарушений.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</w:t>
      </w:r>
      <w:r>
        <w:rPr>
          <w:rFonts w:ascii="Times New Roman" w:hAnsi="Times New Roman" w:cs="Times New Roman"/>
          <w:sz w:val="24"/>
          <w:szCs w:val="24"/>
        </w:rPr>
        <w:t xml:space="preserve">а объекты  проверок направлено </w:t>
      </w:r>
      <w:r>
        <w:rPr>
          <w:rFonts w:ascii="Times New Roman" w:hAnsi="Times New Roman" w:cs="Times New Roman"/>
          <w:sz w:val="24"/>
          <w:szCs w:val="24"/>
        </w:rPr>
        <w:t xml:space="preserve">5 представлений, которые содержат 23 предложения об устранении нарушений по итогам контрол</w:t>
      </w:r>
      <w:r>
        <w:rPr>
          <w:rFonts w:ascii="Times New Roman" w:hAnsi="Times New Roman" w:cs="Times New Roman"/>
          <w:sz w:val="24"/>
          <w:szCs w:val="24"/>
        </w:rPr>
        <w:t xml:space="preserve">ьных мероприятий. В течение 2024</w:t>
      </w:r>
      <w:r>
        <w:rPr>
          <w:rFonts w:ascii="Times New Roman" w:hAnsi="Times New Roman" w:cs="Times New Roman"/>
          <w:sz w:val="24"/>
          <w:szCs w:val="24"/>
        </w:rPr>
        <w:t xml:space="preserve"> года  всеми проверяемыми </w:t>
      </w:r>
      <w:r>
        <w:rPr>
          <w:rFonts w:ascii="Times New Roman" w:hAnsi="Times New Roman" w:cs="Times New Roman"/>
          <w:sz w:val="24"/>
          <w:szCs w:val="24"/>
        </w:rPr>
        <w:t xml:space="preserve"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была представлена информация  о рассмотрении вынесенных представлений и о принятых мерах по устранению нарушений и недостатков.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0"/>
        <w:jc w:val="both"/>
      </w:pPr>
      <w:r>
        <w:t xml:space="preserve">            </w:t>
      </w:r>
      <w:r>
        <w:t xml:space="preserve">Контрольно –счетным комитетом по итогам контрольного мероприятия  было </w:t>
      </w:r>
      <w:r>
        <w:t xml:space="preserve">    </w:t>
      </w:r>
      <w:r>
        <w:t xml:space="preserve">составлено восемь протоколов  о совершении административного правонарушения на физических  лиц. Постановлением  Мирового судьи Вологодской области по судебному участку №49 виновным лицам было назначено  административное наказание в виде предупреждения. </w:t>
      </w:r>
      <w:bookmarkStart w:id="1" w:name="_GoBack"/>
      <w:r/>
      <w:bookmarkEnd w:id="1"/>
      <w:r/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4.</w:t>
      </w:r>
      <w:r>
        <w:rPr>
          <w:b/>
        </w:rPr>
        <w:t xml:space="preserve"> </w:t>
      </w:r>
      <w:r>
        <w:rPr>
          <w:b/>
        </w:rPr>
        <w:t xml:space="preserve">Инф</w:t>
      </w:r>
      <w:r>
        <w:rPr>
          <w:b/>
        </w:rPr>
        <w:t xml:space="preserve">ормационная и иная деятельность</w:t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           </w:t>
      </w:r>
      <w:r>
        <w:t xml:space="preserve">Штатная численность </w:t>
      </w:r>
      <w:r>
        <w:t xml:space="preserve"> контрольно-счетного комитета - </w:t>
      </w:r>
      <w:r>
        <w:t xml:space="preserve">2 человека, фактическая </w:t>
      </w:r>
      <w:r>
        <w:t xml:space="preserve">–</w:t>
      </w:r>
      <w:r>
        <w:t xml:space="preserve"> 1</w:t>
      </w:r>
      <w:r>
        <w:t xml:space="preserve">. </w:t>
      </w:r>
      <w:r/>
    </w:p>
    <w:p>
      <w:pPr>
        <w:jc w:val="both"/>
      </w:pPr>
      <w:r>
        <w:t xml:space="preserve">           </w:t>
      </w:r>
      <w:r>
        <w:t xml:space="preserve">В целях совершенствования своей деятельности, обмена опытом и получения информационных материалов контрольно-счетный комитет взаимодействует с </w:t>
      </w:r>
      <w:r>
        <w:t xml:space="preserve">К</w:t>
      </w:r>
      <w:r>
        <w:t xml:space="preserve">онтрольно-счетной палатой области и с органами финансового контроля муниципальны</w:t>
      </w:r>
      <w:r>
        <w:t xml:space="preserve">х </w:t>
      </w:r>
      <w:r>
        <w:t xml:space="preserve"> </w:t>
      </w:r>
      <w:r>
        <w:t xml:space="preserve">образований</w:t>
      </w:r>
      <w:r>
        <w:t xml:space="preserve"> области</w:t>
      </w:r>
      <w:r>
        <w:t xml:space="preserve">.</w:t>
      </w:r>
      <w:r>
        <w:t xml:space="preserve"> </w:t>
      </w:r>
      <w:r>
        <w:t xml:space="preserve">В</w:t>
      </w:r>
      <w:r>
        <w:t xml:space="preserve"> 2024</w:t>
      </w:r>
      <w:r>
        <w:t xml:space="preserve"> году контрольно-счетным комитетом осуществлялся постоянный мониторинг законодательства Российской Федерации и Вологодской области по вопросам, входящим в его компетенцию.</w:t>
      </w:r>
      <w:r/>
    </w:p>
    <w:p>
      <w:pPr>
        <w:jc w:val="both"/>
      </w:pPr>
      <w:r>
        <w:t xml:space="preserve">            В 2024</w:t>
      </w:r>
      <w:r>
        <w:t xml:space="preserve"> году продолжена работа с органами контроля в рамках заключенных соглашений между контрольно-счетным комитетом</w:t>
      </w:r>
      <w:r>
        <w:t xml:space="preserve"> округа</w:t>
      </w:r>
      <w:r>
        <w:t xml:space="preserve"> и </w:t>
      </w:r>
      <w:r>
        <w:t xml:space="preserve">ОМВД России «Кирилловский»,</w:t>
      </w:r>
      <w:r>
        <w:t xml:space="preserve"> </w:t>
      </w:r>
      <w:r>
        <w:t xml:space="preserve">Контрольно-счетной палатой Вологодской области</w:t>
      </w:r>
      <w:r>
        <w:t xml:space="preserve">, Прокуратурой Кирилловского района.</w:t>
      </w:r>
      <w:r/>
    </w:p>
    <w:p>
      <w:pPr>
        <w:jc w:val="both"/>
      </w:pPr>
      <w:r>
        <w:rPr>
          <w:color w:val="ff0000"/>
        </w:rPr>
        <w:t xml:space="preserve">            </w:t>
      </w:r>
      <w:r>
        <w:t xml:space="preserve">С учетом результатов контрольных и экспертно-аналитических мероприятий отчетного года и поступивших предложений сформирован план работы контрольно-счетного комитета</w:t>
      </w:r>
      <w:r>
        <w:t xml:space="preserve"> округа</w:t>
      </w:r>
      <w:r>
        <w:t xml:space="preserve"> на 2025</w:t>
      </w:r>
      <w:r>
        <w:t xml:space="preserve"> год.</w:t>
      </w:r>
      <w:r/>
    </w:p>
    <w:p>
      <w:pPr>
        <w:jc w:val="both"/>
      </w:pPr>
      <w:r>
        <w:t xml:space="preserve">            Информационная деятельность </w:t>
      </w:r>
      <w:r>
        <w:t xml:space="preserve">контрольно-счетного комитета </w:t>
      </w:r>
      <w:r>
        <w:t xml:space="preserve">обеспеч</w:t>
      </w:r>
      <w:r>
        <w:t xml:space="preserve">ивается посредством размещения информации</w:t>
      </w:r>
      <w:r>
        <w:t xml:space="preserve"> </w:t>
      </w:r>
      <w:r>
        <w:t xml:space="preserve">в сети Интернет</w:t>
      </w:r>
      <w:r>
        <w:t xml:space="preserve"> на официальном сайте Кирилловского муниципального </w:t>
      </w:r>
      <w:r>
        <w:t xml:space="preserve">округа</w:t>
      </w:r>
      <w:r>
        <w:t xml:space="preserve">.</w:t>
      </w:r>
      <w:r/>
      <w:r/>
      <w:r/>
      <w:r/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8" w:right="849" w:bottom="72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3</w: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7"/>
    <w:link w:val="874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7"/>
    <w:link w:val="875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77"/>
    <w:link w:val="876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7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7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3"/>
    <w:next w:val="873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3"/>
    <w:next w:val="873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7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3"/>
    <w:next w:val="873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7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3"/>
    <w:next w:val="873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7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3"/>
    <w:next w:val="873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7"/>
    <w:link w:val="721"/>
    <w:uiPriority w:val="10"/>
    <w:rPr>
      <w:sz w:val="48"/>
      <w:szCs w:val="48"/>
    </w:rPr>
  </w:style>
  <w:style w:type="paragraph" w:styleId="723">
    <w:name w:val="Subtitle"/>
    <w:basedOn w:val="873"/>
    <w:next w:val="873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7"/>
    <w:link w:val="723"/>
    <w:uiPriority w:val="11"/>
    <w:rPr>
      <w:sz w:val="24"/>
      <w:szCs w:val="24"/>
    </w:rPr>
  </w:style>
  <w:style w:type="paragraph" w:styleId="725">
    <w:name w:val="Quote"/>
    <w:basedOn w:val="873"/>
    <w:next w:val="873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3"/>
    <w:next w:val="873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7"/>
    <w:link w:val="884"/>
    <w:uiPriority w:val="99"/>
  </w:style>
  <w:style w:type="paragraph" w:styleId="730">
    <w:name w:val="Footer"/>
    <w:basedOn w:val="873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basedOn w:val="877"/>
    <w:link w:val="730"/>
    <w:uiPriority w:val="99"/>
  </w:style>
  <w:style w:type="paragraph" w:styleId="732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character" w:styleId="860">
    <w:name w:val="Footnote Text Char"/>
    <w:link w:val="900"/>
    <w:uiPriority w:val="99"/>
    <w:rPr>
      <w:sz w:val="18"/>
    </w:rPr>
  </w:style>
  <w:style w:type="character" w:styleId="861">
    <w:name w:val="Endnote Text Char"/>
    <w:link w:val="897"/>
    <w:uiPriority w:val="99"/>
    <w:rPr>
      <w:sz w:val="20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Heading 1"/>
    <w:basedOn w:val="873"/>
    <w:next w:val="873"/>
    <w:link w:val="880"/>
    <w:uiPriority w:val="9"/>
    <w:qFormat/>
    <w:pPr>
      <w:keepLines/>
      <w:keepNext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875">
    <w:name w:val="Heading 2"/>
    <w:basedOn w:val="873"/>
    <w:next w:val="873"/>
    <w:link w:val="881"/>
    <w:uiPriority w:val="9"/>
    <w:unhideWhenUsed/>
    <w:qFormat/>
    <w:pPr>
      <w:keepLines/>
      <w:keepNext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876">
    <w:name w:val="Heading 3"/>
    <w:basedOn w:val="873"/>
    <w:next w:val="873"/>
    <w:link w:val="88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Заголовок 1 Знак"/>
    <w:basedOn w:val="877"/>
    <w:link w:val="87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1" w:customStyle="1">
    <w:name w:val="Заголовок 2 Знак"/>
    <w:basedOn w:val="877"/>
    <w:link w:val="87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2">
    <w:name w:val="No Spacing"/>
    <w:link w:val="889"/>
    <w:uiPriority w:val="1"/>
    <w:qFormat/>
    <w:pPr>
      <w:spacing w:after="0" w:line="240" w:lineRule="auto"/>
    </w:pPr>
  </w:style>
  <w:style w:type="character" w:styleId="883" w:customStyle="1">
    <w:name w:val="Заголовок 3 Знак"/>
    <w:basedOn w:val="877"/>
    <w:link w:val="876"/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884">
    <w:name w:val="Header"/>
    <w:basedOn w:val="873"/>
    <w:link w:val="885"/>
    <w:pPr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77"/>
    <w:link w:val="88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page number"/>
    <w:basedOn w:val="877"/>
  </w:style>
  <w:style w:type="paragraph" w:styleId="887">
    <w:name w:val="Body Text"/>
    <w:basedOn w:val="873"/>
    <w:link w:val="888"/>
    <w:pPr>
      <w:spacing w:after="120"/>
    </w:pPr>
  </w:style>
  <w:style w:type="character" w:styleId="888" w:customStyle="1">
    <w:name w:val="Основной текст Знак"/>
    <w:basedOn w:val="877"/>
    <w:link w:val="88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Без интервала Знак"/>
    <w:basedOn w:val="877"/>
    <w:link w:val="882"/>
    <w:uiPriority w:val="1"/>
  </w:style>
  <w:style w:type="paragraph" w:styleId="890" w:customStyle="1">
    <w:name w:val="ConsPlusNormal"/>
    <w:link w:val="893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891" w:customStyle="1">
    <w:name w:val="apple-style-span"/>
    <w:basedOn w:val="877"/>
  </w:style>
  <w:style w:type="paragraph" w:styleId="892" w:customStyle="1">
    <w:name w:val="Заголовок статьи"/>
    <w:basedOn w:val="873"/>
    <w:pPr>
      <w:ind w:firstLine="709"/>
      <w:jc w:val="both"/>
      <w:spacing w:before="240" w:after="120"/>
      <w:tabs>
        <w:tab w:val="left" w:pos="3686" w:leader="none"/>
      </w:tabs>
    </w:pPr>
    <w:rPr>
      <w:b/>
      <w:sz w:val="28"/>
      <w:szCs w:val="20"/>
    </w:rPr>
  </w:style>
  <w:style w:type="character" w:styleId="893" w:customStyle="1">
    <w:name w:val="ConsPlusNormal Знак"/>
    <w:link w:val="890"/>
    <w:rPr>
      <w:rFonts w:ascii="Arial" w:hAnsi="Arial" w:cs="Arial"/>
      <w:sz w:val="20"/>
      <w:szCs w:val="20"/>
    </w:rPr>
  </w:style>
  <w:style w:type="paragraph" w:styleId="894" w:customStyle="1">
    <w:name w:val="Знак Знак Знак Знак Знак Знак1 Знак Знак Знак Знак Знак Знак Знак"/>
    <w:basedOn w:val="8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95">
    <w:name w:val="List Paragraph"/>
    <w:basedOn w:val="873"/>
    <w:uiPriority w:val="34"/>
    <w:qFormat/>
    <w:pPr>
      <w:contextualSpacing/>
      <w:ind w:left="720"/>
    </w:pPr>
    <w:rPr>
      <w:sz w:val="20"/>
      <w:szCs w:val="20"/>
    </w:rPr>
  </w:style>
  <w:style w:type="table" w:styleId="896">
    <w:name w:val="Table Grid"/>
    <w:basedOn w:val="87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97">
    <w:name w:val="endnote text"/>
    <w:basedOn w:val="873"/>
    <w:link w:val="898"/>
    <w:uiPriority w:val="99"/>
    <w:semiHidden/>
    <w:unhideWhenUsed/>
    <w:rPr>
      <w:sz w:val="20"/>
      <w:szCs w:val="20"/>
    </w:rPr>
  </w:style>
  <w:style w:type="character" w:styleId="898" w:customStyle="1">
    <w:name w:val="Текст концевой сноски Знак"/>
    <w:basedOn w:val="877"/>
    <w:link w:val="89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9">
    <w:name w:val="endnote reference"/>
    <w:basedOn w:val="877"/>
    <w:uiPriority w:val="99"/>
    <w:semiHidden/>
    <w:unhideWhenUsed/>
    <w:rPr>
      <w:vertAlign w:val="superscript"/>
    </w:rPr>
  </w:style>
  <w:style w:type="paragraph" w:styleId="900">
    <w:name w:val="footnote text"/>
    <w:basedOn w:val="873"/>
    <w:link w:val="901"/>
    <w:uiPriority w:val="99"/>
    <w:unhideWhenUsed/>
    <w:rPr>
      <w:sz w:val="20"/>
      <w:szCs w:val="20"/>
    </w:rPr>
  </w:style>
  <w:style w:type="character" w:styleId="901" w:customStyle="1">
    <w:name w:val="Текст сноски Знак"/>
    <w:basedOn w:val="877"/>
    <w:link w:val="90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2">
    <w:name w:val="footnote reference"/>
    <w:basedOn w:val="87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948A-193A-45FA-AD1F-18CC5B1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revision>55</cp:revision>
  <dcterms:created xsi:type="dcterms:W3CDTF">2024-02-22T07:22:00Z</dcterms:created>
  <dcterms:modified xsi:type="dcterms:W3CDTF">2025-04-18T06:35:48Z</dcterms:modified>
</cp:coreProperties>
</file>