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1915"/>
        <w:tblW w:w="5000" w:type="pct"/>
        <w:tblInd w:w="8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80" w:type="dxa"/>
          <w:top w:w="60" w:type="dxa"/>
          <w:right w:w="80" w:type="dxa"/>
          <w:bottom w:w="60" w:type="dxa"/>
        </w:tblCellMar>
        <w:tblLook w:val="04A0" w:firstRow="1" w:lastRow="0" w:firstColumn="1" w:lastColumn="0" w:noHBand="0" w:noVBand="1"/>
      </w:tblPr>
      <w:tblGrid>
        <w:gridCol w:w="10876"/>
      </w:tblGrid>
      <w:tr>
        <w:trPr>
          <w:trHeight w:val="3031" w:hRule="exact"/>
        </w:trPr>
        <w:tc>
          <w:tcPr>
            <w:tcW w:w="10876" w:type="dxa"/>
            <w:vAlign w:val="top"/>
            <w:textDirection w:val="lrTb"/>
            <w:noWrap w:val="false"/>
          </w:tcPr>
          <w:p>
            <w:pPr>
              <w:pStyle w:val="1_882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_x0000_s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709279" name=""/>
                              <pic:cNvPicPr/>
                              <pic:nvPr/>
                            </pic:nvPicPr>
                            <pic:blipFill>
                              <a:blip r:embed="rId9"/>
                              <a:srcRect l="0" t="0" r="0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09999" cy="9048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pt;height:71.2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bidi="ru-RU"/>
              </w:rPr>
            </w:r>
            <w:r/>
          </w:p>
        </w:tc>
      </w:tr>
      <w:tr>
        <w:trPr>
          <w:trHeight w:val="8335" w:hRule="exact"/>
        </w:trPr>
        <w:tc>
          <w:tcPr>
            <w:tcW w:w="10876" w:type="dxa"/>
            <w:vAlign w:val="center"/>
            <w:textDirection w:val="lrTb"/>
            <w:noWrap w:val="false"/>
          </w:tcPr>
          <w:p>
            <w:pPr>
              <w:pStyle w:val="1_882"/>
              <w:ind w:left="0" w:right="0" w:firstLine="0"/>
              <w:jc w:val="center"/>
              <w:spacing w:before="0" w:after="0" w:line="240" w:lineRule="auto"/>
              <w:rPr>
                <w:rFonts w:ascii="Tahoma" w:hAnsi="Tahoma" w:eastAsia="Tahoma" w:cs="Tahoma"/>
                <w:lang w:val="ru-RU" w:bidi="ru-RU"/>
              </w:rPr>
            </w:pPr>
            <w:r>
              <w:rPr>
                <w:rFonts w:ascii="Tahoma" w:hAnsi="Tahoma" w:eastAsia="Tahoma" w:cs="Tahoma"/>
                <w:sz w:val="48"/>
                <w:szCs w:val="48"/>
                <w:lang w:val="ru-RU" w:bidi="ru-RU"/>
              </w:rPr>
              <w:t xml:space="preserve">Распоряжение Правительства РФ от 17.04.2019 N 768-р</w:t>
            </w:r>
            <w:r>
              <w:rPr>
                <w:rFonts w:ascii="Tahoma" w:hAnsi="Tahoma" w:eastAsia="Tahoma" w:cs="Tahoma"/>
                <w:sz w:val="48"/>
                <w:szCs w:val="48"/>
                <w:lang w:val="ru-RU" w:bidi="ru-RU"/>
              </w:rPr>
              <w:br/>
            </w:r>
            <w:r>
              <w:rPr>
                <w:rFonts w:ascii="Tahoma" w:hAnsi="Tahoma" w:eastAsia="Tahoma" w:cs="Tahoma"/>
                <w:sz w:val="48"/>
                <w:szCs w:val="48"/>
                <w:lang w:val="ru-RU" w:bidi="ru-RU"/>
              </w:rPr>
              <w:t xml:space="preserve">&lt;Об утверждении стандарта развития конкуренции в субъектах Российской Федерации&gt;</w:t>
            </w:r>
            <w:r>
              <w:rPr>
                <w:rFonts w:ascii="Tahoma" w:hAnsi="Tahoma" w:eastAsia="Tahoma" w:cs="Tahoma"/>
                <w:sz w:val="48"/>
                <w:szCs w:val="48"/>
                <w:lang w:val="ru-RU" w:bidi="ru-RU"/>
              </w:rPr>
            </w:r>
            <w:r/>
          </w:p>
        </w:tc>
      </w:tr>
      <w:tr>
        <w:trPr>
          <w:trHeight w:val="3031" w:hRule="exact"/>
        </w:trPr>
        <w:tc>
          <w:tcPr>
            <w:tcW w:w="10876" w:type="dxa"/>
            <w:vAlign w:val="center"/>
            <w:textDirection w:val="lrTb"/>
            <w:noWrap w:val="false"/>
          </w:tcPr>
          <w:p>
            <w:pPr>
              <w:pStyle w:val="1_882"/>
              <w:ind w:left="0" w:right="0" w:firstLine="0"/>
              <w:jc w:val="center"/>
              <w:spacing w:before="0" w:after="0" w:line="240" w:lineRule="auto"/>
              <w:rPr>
                <w:rFonts w:ascii="Tahoma" w:hAnsi="Tahoma" w:eastAsia="Tahoma" w:cs="Tahoma"/>
                <w:lang w:val="ru-RU" w:bidi="ru-RU"/>
              </w:rPr>
            </w:pPr>
            <w:r>
              <w:rPr>
                <w:rFonts w:ascii="Tahoma" w:hAnsi="Tahoma" w:eastAsia="Tahoma" w:cs="Tahoma"/>
                <w:sz w:val="28"/>
                <w:szCs w:val="28"/>
                <w:lang w:val="ru-RU" w:bidi="ru-RU"/>
              </w:rPr>
              <w:t xml:space="preserve">Документ предоставлен </w:t>
            </w:r>
            <w:hyperlink r:id="rId10" w:tooltip="http://www.consultant.ru" w:history="1">
              <w:r>
                <w:rPr>
                  <w:rFonts w:ascii="Tahoma" w:hAnsi="Tahoma" w:eastAsia="Tahoma" w:cs="Tahoma"/>
                  <w:b/>
                  <w:bCs/>
                  <w:color w:val="0000ff"/>
                  <w:sz w:val="28"/>
                  <w:szCs w:val="28"/>
                  <w:lang w:val="ru-RU" w:bidi="ru-RU"/>
                </w:rPr>
                <w:t xml:space="preserve">КонсультантПлюс</w:t>
              </w:r>
              <w:r>
                <w:rPr>
                  <w:rFonts w:ascii="Tahoma" w:hAnsi="Tahoma" w:eastAsia="Tahoma" w:cs="Tahoma"/>
                  <w:b/>
                  <w:bCs/>
                  <w:color w:val="0000ff"/>
                  <w:sz w:val="28"/>
                  <w:szCs w:val="28"/>
                  <w:lang w:val="ru-RU" w:bidi="ru-RU"/>
                </w:rPr>
                <w:br/>
              </w:r>
              <w:r>
                <w:rPr>
                  <w:rFonts w:ascii="Tahoma" w:hAnsi="Tahoma" w:eastAsia="Tahoma" w:cs="Tahoma"/>
                  <w:b/>
                  <w:bCs/>
                  <w:color w:val="0000ff"/>
                  <w:sz w:val="28"/>
                  <w:szCs w:val="28"/>
                  <w:lang w:val="ru-RU" w:bidi="ru-RU"/>
                </w:rPr>
                <w:br/>
              </w:r>
            </w:hyperlink>
            <w:r/>
            <w:hyperlink r:id="rId11" w:tooltip="http://www.consultant.ru" w:history="1">
              <w:r>
                <w:rPr>
                  <w:rFonts w:ascii="Tahoma" w:hAnsi="Tahoma" w:eastAsia="Tahoma" w:cs="Tahoma"/>
                  <w:b/>
                  <w:bCs/>
                  <w:color w:val="0000ff"/>
                  <w:sz w:val="28"/>
                  <w:szCs w:val="28"/>
                  <w:lang w:val="ru-RU" w:bidi="ru-RU"/>
                </w:rPr>
                <w:t xml:space="preserve">www.consultant.ru</w:t>
              </w:r>
            </w:hyperlink>
            <w:r>
              <w:rPr>
                <w:rFonts w:ascii="Tahoma" w:hAnsi="Tahoma" w:eastAsia="Tahoma" w:cs="Tahoma"/>
                <w:sz w:val="28"/>
                <w:szCs w:val="28"/>
                <w:lang w:val="ru-RU" w:bidi="ru-RU"/>
              </w:rPr>
              <w:br/>
            </w:r>
            <w:r>
              <w:rPr>
                <w:rFonts w:ascii="Tahoma" w:hAnsi="Tahoma" w:eastAsia="Tahoma" w:cs="Tahoma"/>
                <w:sz w:val="28"/>
                <w:szCs w:val="28"/>
                <w:lang w:val="ru-RU" w:bidi="ru-RU"/>
              </w:rPr>
              <w:br/>
            </w:r>
            <w:r>
              <w:rPr>
                <w:rFonts w:ascii="Tahoma" w:hAnsi="Tahoma" w:eastAsia="Tahoma" w:cs="Tahoma"/>
                <w:sz w:val="28"/>
                <w:szCs w:val="28"/>
                <w:lang w:val="ru-RU" w:bidi="ru-RU"/>
              </w:rPr>
              <w:t xml:space="preserve">Дата сохранения: 01.09.2019</w:t>
            </w:r>
            <w:r>
              <w:rPr>
                <w:rFonts w:ascii="Tahoma" w:hAnsi="Tahoma" w:eastAsia="Tahoma" w:cs="Tahoma"/>
                <w:sz w:val="28"/>
                <w:szCs w:val="28"/>
                <w:lang w:val="ru-RU" w:bidi="ru-RU"/>
              </w:rPr>
              <w:br/>
            </w:r>
            <w:r>
              <w:rPr>
                <w:rFonts w:ascii="Tahoma" w:hAnsi="Tahoma" w:eastAsia="Tahoma" w:cs="Tahoma"/>
                <w:sz w:val="28"/>
                <w:szCs w:val="28"/>
                <w:lang w:val="ru-RU" w:bidi="ru-RU"/>
              </w:rPr>
              <w:t xml:space="preserve"> </w:t>
            </w:r>
            <w:r>
              <w:rPr>
                <w:rFonts w:ascii="Tahoma" w:hAnsi="Tahoma" w:eastAsia="Tahoma" w:cs="Tahoma"/>
                <w:sz w:val="28"/>
                <w:szCs w:val="28"/>
                <w:lang w:val="ru-RU" w:bidi="ru-RU"/>
              </w:rPr>
            </w:r>
            <w:r/>
          </w:p>
        </w:tc>
      </w:tr>
    </w:tbl>
    <w:p>
      <w:pPr>
        <w:pStyle w:val="1_880"/>
        <w:ind w:left="0" w:right="0" w:firstLine="540"/>
        <w:jc w:val="both"/>
        <w:spacing w:before="0" w:after="0" w:line="240" w:lineRule="auto"/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sectPr>
          <w:footnotePr>
            <w:pos w:val="pageBottom"/>
          </w:footnotePr>
          <w:endnotePr/>
          <w:type w:val="nextPage"/>
          <w:pgSz w:w="11906" w:h="16838" w:orient="portrait"/>
          <w:pgMar w:top="841" w:right="595" w:bottom="841" w:left="595" w:header="709" w:footer="709" w:gutter="0"/>
          <w:cols w:num="1" w:sep="0" w:space="720" w:equalWidth="1"/>
          <w:docGrid w:linePitch="360"/>
        </w:sectPr>
      </w:pPr>
      <w:r/>
      <w:r/>
      <w:r/>
    </w:p>
    <w:p>
      <w:pPr>
        <w:pStyle w:val="1_880"/>
        <w:ind w:left="0" w:right="0" w:firstLine="540"/>
        <w:jc w:val="both"/>
        <w:spacing w:before="0" w:after="0" w:line="240" w:lineRule="auto"/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  <w:outlineLvl w:val="0"/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ПРАВИТЕЛЬСТВО РОССИЙСКОЙ ФЕДЕРАЦИИ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РАСПОРЯЖЕНИЕ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от 17 апреля 2019 г. N 768-р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center"/>
        <w:spacing w:before="0" w:after="0" w:line="240" w:lineRule="auto"/>
      </w:pPr>
      <w:r>
        <w:rPr>
          <w:rFonts w:ascii="Arial" w:hAnsi="Arial" w:eastAsia="Arial" w:cs="Arial"/>
          <w:sz w:val="24"/>
          <w:szCs w:val="24"/>
          <w:lang w:val="ru-RU" w:bidi="ru-RU"/>
        </w:rPr>
      </w:r>
      <w:r>
        <w:rPr>
          <w:rFonts w:ascii="Arial" w:hAnsi="Arial" w:eastAsia="Arial" w:cs="Arial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 Утвердить прилагаемый </w:t>
      </w:r>
      <w:hyperlink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стандарт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развития конкуренции в субъектах Российской Федерации (далее - стандарт).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2. Рекомендовать: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стандарта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субъектам естественных монополий руководствоваться положениями </w:t>
      </w:r>
      <w:hyperlink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стандарта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в рамках раскрытия информации о своей деятельности.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стандарту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4. Минэкономразвития России: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образовать межведомственную рабочую группу по вопросам реализации положений </w:t>
      </w:r>
      <w:hyperlink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стандарта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представлять при необходимости в Правительство Российской Федерации в установленном порядке предложения по внесению изменений в стандарт, одобренные межведомственной рабочей группой по вопросам реализации положений </w:t>
      </w:r>
      <w:hyperlink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стандарта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стандарта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, включающий оценку эффективности деятельности органов исполнительной власти субъектов Российской Федерации по его внедрению.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5. Признать утратившими силу: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распоряжение Правительства Российской Федерации от 5 сентября 2015 г. N 1738-р (Собрание законодательства Российской Федерации, 2015, N 37, ст. 5176);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распоряжение Правительства Российской Федерации от 17 сентября 2016 г. N 1969-р (Собрание законодательства Российской Федерации, 2016, N 39, ст. 5702).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right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Председатель Правительства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right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right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Д.МЕДВЕДЕВ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right"/>
        <w:spacing w:before="0" w:after="0" w:line="240" w:lineRule="auto"/>
        <w:outlineLvl w:val="0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Утвержден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right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распоряжением Правительства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right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right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от 17 апреля 2019 г. N 768-р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center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СТАНДАРТ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РАЗВИТИЯ КОНКУРЕНЦИИ В СУБЪЕКТАХ РОССИЙСКОЙ ФЕДЕРАЦИИ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center"/>
        <w:spacing w:before="0" w:after="0" w:line="240" w:lineRule="auto"/>
      </w:pPr>
      <w:r>
        <w:rPr>
          <w:rFonts w:ascii="Arial" w:hAnsi="Arial" w:eastAsia="Arial" w:cs="Arial"/>
          <w:sz w:val="24"/>
          <w:szCs w:val="24"/>
          <w:lang w:val="ru-RU" w:bidi="ru-RU"/>
        </w:rPr>
      </w:r>
      <w:r>
        <w:rPr>
          <w:rFonts w:ascii="Arial" w:hAnsi="Arial" w:eastAsia="Arial" w:cs="Arial"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  <w:outlineLvl w:val="1"/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I. Общие положения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center"/>
        <w:spacing w:before="0" w:after="0" w:line="240" w:lineRule="auto"/>
      </w:pPr>
      <w:r>
        <w:rPr>
          <w:rFonts w:ascii="Arial" w:hAnsi="Arial" w:eastAsia="Arial" w:cs="Arial"/>
          <w:sz w:val="24"/>
          <w:szCs w:val="24"/>
          <w:lang w:val="ru-RU" w:bidi="ru-RU"/>
        </w:rPr>
      </w:r>
      <w:r>
        <w:rPr>
          <w:rFonts w:ascii="Arial" w:hAnsi="Arial" w:eastAsia="Arial" w:cs="Arial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1. Стандарт развития конкуренции в субъектах Российской Федераци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и (далее соответственно - стандарт, конкуренция) разработан в рамках реализации пункта 7 и подпункта "в" пункта 8 Указа Президента Российской Федерации от 21 декабря 2017 г. N 618 "Об основных направлениях государственной политики по развитию конкуренции".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2. Целями стандарта являются: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а) установление системного и единообразного подхода к осуществлению деятельности органов исполнительной власти субъек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б) содействие формированию прозрачной системы работы орга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в) выявление потенциала развития экономики Российской Федерации, включая научно-технологический и человеческий потенциал;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е) повышение доступности финансовых услуг для субъектов экономической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ж) преодоление и минимизация влияния несовершенной конкуренции на инфляцию;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з) содейст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сийской Федерации, характеризующихся наличием значимых проблем, препятствующих конкуренции. 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3. Принципами внедрения стандарта являются: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а) ориентация на потребителя - высшее дол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субъекта Российской Федерации во взаимодействии с руководством муниципальных о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 целом;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б) заинтересованность высшего должностного лица -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в) системный подход - совершенствование деятельности органов исполнительной власти субъекта Российской Федерации по анализу состояния товарных рынков, поведения хозяйствующих субъектов на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г) постоянное совершенствование деятельности - повышение удовлетворенности потребителей и других участников экономической де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д) прозрачность деятельности - содействие органов исполнительной власти субъекта Российской Федерации в обеспечении открытости и дост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 соглашении отражаются положения, определяющие его цели и предмет, описываются порядок, формы и направления взаимодействия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органов исполнительной власти субъекта Российской Федерации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5. Внедрение стандарта осуществляется на основании решения высшего должностного лица и может предус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 приоритетной программы по внедрению стандарта, утверждаемой высшим должностным лицом.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Внедрение стандарта предполагает определение в органах исполнительной вл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6. Для достижения целей стандарта и соблюдения принципов его внедрения, формирования </w:t>
      </w:r>
      <w:hyperlink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перечня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ого координационного или совещательного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Одним из основных средств достижения целей вн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7. 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8. Для повышения мотивации руководителей органов исполнительной власти субъекта Россий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 власти субъекта Российской Федерации и органов местного самоуправления.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center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  <w:outlineLvl w:val="1"/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II. Определение уполномоченного органа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Arial" w:hAnsi="Arial" w:eastAsia="Arial" w:cs="Arial"/>
          <w:sz w:val="24"/>
          <w:szCs w:val="24"/>
          <w:lang w:val="ru-RU" w:bidi="ru-RU"/>
        </w:rPr>
      </w:r>
      <w:r>
        <w:rPr>
          <w:rFonts w:ascii="Arial" w:hAnsi="Arial" w:eastAsia="Arial" w:cs="Arial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9. Уполномоченный орган определяется из числа органов исполнительной власти субъекта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10. Уполномоченный орган осуществляет следующие полномочия: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в) разрабатывает проект "дорожной карты" и представляет его на рассмотрение и утверждение высшему должностному лицу;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г) организует проектную деятельность по вопросам внедрения стандарта, координирует в фор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проектами;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д) организует или осуществл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з) рассмат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11. В рамках реализации мероп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б) осуществляют реализацию мероприятий "дорожной карты", а также иных мероприятий по содействию развитию конкуренции;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в) обеспечивают единство целей и направлений деятельности органов исполнительной власти субъекта Российской Федерации и органов местного самоуправления;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г) обеспечивают информационное взаимодействие с потребителями товаров, работ, услуг, участниками экономической деятельности (предпринима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  <w:outlineLvl w:val="1"/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III. Рассмотрение вопросов содействия развитию конкуренции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на заседаниях коллегиального органа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center"/>
        <w:spacing w:before="0" w:after="0" w:line="240" w:lineRule="auto"/>
      </w:pPr>
      <w:r>
        <w:rPr>
          <w:rFonts w:ascii="Arial" w:hAnsi="Arial" w:eastAsia="Arial" w:cs="Arial"/>
          <w:sz w:val="24"/>
          <w:szCs w:val="24"/>
          <w:lang w:val="ru-RU" w:bidi="ru-RU"/>
        </w:rPr>
      </w:r>
      <w:r>
        <w:rPr>
          <w:rFonts w:ascii="Arial" w:hAnsi="Arial" w:eastAsia="Arial" w:cs="Arial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12. Коллегиальный орган на своих заседаниях рассматривает подготавливаемые в целях стимулирования развития конкуренции: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а)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б) проект "дорожной карты", включая информацию о разработке и выполнении мероприятий, предусмотренных "дорожной картой";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г) результаты и анализ результатов мониторинга.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14. В состав коллегиального органа (в том числе в рамках отдельных специализированных рабочих групп по направлениям) включаются: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б) представители совета муниципальных образований, иных объединений муниципальных образований и (или) органов местного самоуправления;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в) представители общественных организаций, действующих в интересах предпринимателей и потребителей товаров, работ, услуг;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г) представители комиссии по проведению административной реформы в субъекте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д) пр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е) предста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вители потребителей товаров, работ, услуг, задействованные в механизмах общественного контроля за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з) представители объединений, действующих в интересах сферы рыбного хозяйства 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к) представители организаций, сфера деятельности которых связана с объединением профессиональных (независимых) директоров;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л) эксп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м) представители общественных палат субъектов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15. В случае необходимости в состав коллегиального органа помимо лиц, указанных в </w:t>
      </w:r>
      <w:hyperlink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пункте 14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стандарта, могут включаться иные участники (с учетом региональной специфики).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16. В состав коллегиального органа, а также отдельных специализированных рабочих групп по направлениям целесообразно включение: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а) представителей территориальных органов федеральных органов исполнительной власти;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б) уполномоченного по защите прав предпринимателей в субъекте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в) уполномоченного по правам человека в субъекте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г) представителей территориальных учреждений Центрального банка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17. Заседания коллегиального органа в очном формате целесообразно проводить не реже одного раза в квартал.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center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  <w:outlineLvl w:val="1"/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IV. Утверждение перечня товарных рынков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center"/>
        <w:spacing w:before="0" w:after="0" w:line="240" w:lineRule="auto"/>
      </w:pPr>
      <w:r>
        <w:rPr>
          <w:rFonts w:ascii="Arial" w:hAnsi="Arial" w:eastAsia="Arial" w:cs="Arial"/>
          <w:sz w:val="24"/>
          <w:szCs w:val="24"/>
          <w:lang w:val="ru-RU" w:bidi="ru-RU"/>
        </w:rPr>
      </w:r>
      <w:r>
        <w:rPr>
          <w:rFonts w:ascii="Arial" w:hAnsi="Arial" w:eastAsia="Arial" w:cs="Arial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21. В перечень товарных рынков включается не менее 33 товарных рынков из перечня товарных рынков согласно </w:t>
      </w:r>
      <w:hyperlink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приложению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 "дорожной карте" предусматриваются соответствующие мероприятия по развитию конкуренции на таких товарных рынках.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Числовые значения ключевых показателей и мероприятия по развитию конкуренции на товарных рынках в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субъектами Российской Федерации самостоятельно с учетом специфики социально-экономического развития.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23. Разработка перечня товарных рынков осуществляется в том числе на основе следующих данных: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б) информация территориальных органов Федеральной антимонопольной службы, в т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г) инвестиционные приоритеты, определяемые субъектом Российской Федерации в установленном им порядке;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е) результаты аналитических исследований и опросов субъектов предпр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24. Информация о разработке проекта перечня товарных рынков и его проект размещаются на официальном сайте уполномоченного органа в сети "И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center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  <w:outlineLvl w:val="1"/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V. Разработка "дорожной карты"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center"/>
        <w:spacing w:before="0" w:after="0" w:line="240" w:lineRule="auto"/>
      </w:pPr>
      <w:r>
        <w:rPr>
          <w:rFonts w:ascii="Arial" w:hAnsi="Arial" w:eastAsia="Arial" w:cs="Arial"/>
          <w:sz w:val="24"/>
          <w:szCs w:val="24"/>
          <w:lang w:val="ru-RU" w:bidi="ru-RU"/>
        </w:rPr>
      </w:r>
      <w:r>
        <w:rPr>
          <w:rFonts w:ascii="Arial" w:hAnsi="Arial" w:eastAsia="Arial" w:cs="Arial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26. Утверждение "дорожной карты" осуществляется высшим должностным лицом.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27. "Дорожная карта" разрабатывается на основе анализа результатов мониторинга, лучших практик работы орг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анов исполнительной власти субъектов Российской Федерации по внедрению стандарта, информации территориальных органов федеральных органов исполнительной власти, территориальных учреждений Центрального банка Российской Федерации и иных источников информации.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28. При разработке и реализации "дорожной карты", а также при внесении в нее изменений осуществляются: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а) определение процессов, необходимых для реализации требований по развитию конкуренции;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б) определение последовательности и взаимодействия этих процессов, а также их приоритетность;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в) определение критериев и методов, необходимых для обеспечения результативности и эффективности как при осуществлении этих процессов, так и при управлении ими;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г) обеспечение ресурсов и информации, необходимых для поддержания этих процессов и их мониторинга;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д) определение принципов и порядка взаимодействия органов исполнительной власти субъекта Российской Федерации с органами местного самоуправления;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е) мероприятия, необходимые для достижения запланированных результатов.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29. Органы местного самоуправления при наличии соглашения могут быть соисполнителями мероприятий "дорожной карты".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а) на развитие конкурентоспособности товаров, работ, услуг субъектов малого и среднего предпринимательства;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устранение случаев (снижение количества) осуществления закупки у единственного поставщика;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прирост объема закупок у субъектов малого и среднего предпринимательства;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увеличение количества участников закупок из числа субъектов малого и среднего предпринимательства;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экономия средств заказчика за счет участия в закупках субъектов малого и среднего предпринимательства;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г) на устранение избыточного государственного и муниципального регулирования, а также на снижение административных барьеров, включая: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проведени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статьям 15 и 16 Федерального закона "О защите конкуренции";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оптимизацию процесса предоставления государственных услуг, относящихся к полномо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ой Федерации и муниципальных образований, устанавливаемых в соответствии с федеральными законами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принципах организации местного самоуправления в Российской Федерации",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д)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разработку, утверждение и выполнение комплексного плана по эффективному управлению государ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создание условий, в с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е) на создание условий для недискриминационного доступа хозяйствующих субъектов на товарные рынки;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ж) на обеспечение и сохранение целевого использования государственных (муниципальных) объектов недвижимого имущества в социальной сфере;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з) на 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и) на содействие развитию негосударственных (немуниципальных) социально ориентированных некоммерческих орган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 детей, производст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к) на стимулирование новых предпринимательских инициатив за счет проведения образовательных мероприятий, обеспечивающ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м) на повышение в субъекте Российской Федерации цифровой грамотности населения, государственных гражданских служащих и работников бюджетной сферы в рамках соответствующей региональной программы;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н) на выявление одаренн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п) на мобильность трудовых ресурсов, способствующую повышению эффективности труда, включающую предварительное исследование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с) на развитие механизмов практико-ориентированного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Ворлдскиллс Интернешнл (WorldSkills International), а также на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(International Abilympic Federation);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у) на содействие созданию и развитию институтов подде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едерации, прошедшего обучение по повышению финансовой грамотности в рамках Стратегии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х) н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ц) на повышение доступности финансовых услуг для субъектов экономической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ш) на обучение государственных граж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щ) на разработку и утверждение типового административного регламента предоставления муниципальной услуги по выдаче разрешения на строительство д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э) на разработку и утверждение типового административного регламента предоставления муниципальной услуги по выдаче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31. "Дорожная карта" должна содержать следующую информацию: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б) сведения о мероприятиях (с указанием срока их разработки и реализации), обеспечивающих достижение установленных результатов (целей);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в) результаты (цели) и ключевые показатели развития конкуренции (с указанием срока их достижения);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г) сведения о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32. Планируется, что мероприятия, предусмотренные "дорожной картой", затронут все сферы деятельности органов исполнительной власти субъекта Российской Фе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дерации и органов местного самоуправления при возможном взаимодействии по соисполнению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33. Предусматривается включение в "дорожну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34. С учетом соглашения в "дорожную карту" могут включаться мероприятия в отношении муниципальных образований.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35. Каждому органу и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center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  <w:outlineLvl w:val="1"/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VI. Проведение мониторинга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center"/>
        <w:spacing w:before="0" w:after="0" w:line="240" w:lineRule="auto"/>
      </w:pPr>
      <w:r>
        <w:rPr>
          <w:rFonts w:ascii="Arial" w:hAnsi="Arial" w:eastAsia="Arial" w:cs="Arial"/>
          <w:sz w:val="24"/>
          <w:szCs w:val="24"/>
          <w:lang w:val="ru-RU" w:bidi="ru-RU"/>
        </w:rPr>
      </w:r>
      <w:r>
        <w:rPr>
          <w:rFonts w:ascii="Arial" w:hAnsi="Arial" w:eastAsia="Arial" w:cs="Arial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38. Уполномоченный орган ежего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39. Мониторинг включает в себя: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выделение групп субъектов предпринимательской деятельнос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сбор данных о наличии и уровне административных барьеров в сферах регулирования, в том числе данных о на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сбор данных о возможностях недискриминационного доступа н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сбор данных о продолжительности осуществления предпринимательской деятельности хозяйствующих субъектов, деятельность которых начата в период не ранее 5 и не позже 3 лет до начала сбора указанных данных;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выделение групп потребителей товаров, работ, услуг в соответствии с их социальным статусом (учащиеся, пенсионеры и др.);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сбор данных об удовлетворенности потребителей, приобре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сбор данных об удовлетворенности потребителей, приобретавших товар, работ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в) мониторинг удовлетворенности субъектов предпринимательской деятельности и потребителей товаров, работ, услуг качеством (в том числе уровнем дос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г) мониторинг деятельности субъектов естественных монополий на территории субъекта Российской Федерации, предусматривающий: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формирование перечня товарных рынков, на которых присутствуют субъекты естественных монополий;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сбор и анализ данных о количестве нарушений су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сбор данных об оценках эффективности реализации инвестиционной программы и от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контроля за деятельностью субъектов естественных монополий;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сбор и анализ данных об оказываемых ресурсоснабжающими организациями и субъектами естественны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ых в перечень стратегических предприятий), с обозначением товарного рынка их присутствия, 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сбор данных об уровне удовлетворенности населения деятельностью финансовых организаций на территории субъект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анализ собранных данных в целом по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доступности, результаты которого ежегодно публикуются на официальном сайте в сети "Интернет";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ж) мониторинг доступности для населения финансовых услуг, оказываемых на территории субъекта Российской Федерации, предусматривающий: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использование официальной статистики Центрального банка Российской Федерации в отношении деятельности финансовых организаций;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сбор данных об использовании населением финансовых продуктов и услуг различных финансовых организаци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сбор данных об оценке населением своего уровня финансовой грамотности (осведомленности, знаний, навыков, установок и поведения);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анализ собранных данных в целом по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доступности, результаты которого ежегодно публикуются на официальном сайте в сети "Интернет";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з) мониторинг цен (с учетом динамики) на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товары, входящие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 и т.п.);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и) мониторинг логистических возможностей субъекта Российской Федерации с учетом логистичес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хабах и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 в этом сегменте, включая наличие стабильной подвижной радиотелефонной связи на удаленных дорогах;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к) мониторинг развития передовых производственных технологий и их внедрения, а также процесса цифровизации экономики и формирования ее новых рынков и секторов.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40. При проведении мониторинга уполномоченный орган использует в том числе: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а) результаты опросов субъектов предпринимательской деятельности, экспе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б) обращения субъектов предпринимательской деятельности, экспертов, потребителей товаров, работ, услуг, касающиеся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"Российская академия наук" в субъекте Ро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е) показатели, характеризующие состояние экономики и социальной сферы каждого муниципального образования;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ж) информацию о результатах общественного контроля за деятельностью субъектов естественных монополий;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з) информацию о результатах анализа правоприменительной практики территориальных органов Федеральной антимонопольной службы, котора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и) информацию территориальных органов Федеральной антимонопольной службы, в т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а) данные по ожидаемому потребителями темпу роста цен;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б) перечни товарных рынков, на кото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в) данные об оценке субъектами малого и среднего предпринимательства использования финансовых продуктов и услуг различных финансовых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пункте 41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стандарта информацию.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43. Министерство экономического развития Российской Федерации по со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продвижению новых проектов" утверждает единую методику мониторинга.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пунктами 39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- </w:t>
      </w:r>
      <w:hyperlink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41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стандарта, а также установить критерии: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а) оценки состояния конкуренции субъектами предпринимательской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б) установления наличия и уровня административных барьеров и их оценки субъектами предпринимательской деятельности;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г) иные критерии.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44. 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сполнительной власти субъекта Российской Федерации и органов местного самоуправления, которые могут быть включены в показатели деятельности органов исполнительной власти субъекта Российской Федерации и органов местного самоуправления (в рамках соглашения).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46. По результатам мониторинга уполномоченный орган подготавливает проект доклада, содержащий в том числе: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а) характеристику состояния конкуренции на товарных рынках, включенных в </w:t>
      </w:r>
      <w:hyperlink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товарных рынков, а также анализ факторов, ограничивающих конкуренцию;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б) данны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в) информацию о результатах общественного контроля за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г) анализ резул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действия развитию конкуренции, а также об улучшении качества (уровня доступности, полноты, скорости и 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е) оценку успешности и итогов реализации ведомственных приоритетных прое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доли достигнутых показателей в общем количестве показателей;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средней суммы фактических значений достижения показателей (процентов плана);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доли выполненных мероприятий в общем количестве мероприятий;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доли выполненных мероприятий в общем количестве мероприятий, по которым приняты корректирующие решения;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48. Доклад направляется ежегодно, до 10 марта года, следующего за отчетным, уполномоченным о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49. Материалы доклада могут использоваться Министерством экономического развития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  <w:outlineLvl w:val="1"/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VII. Создание и реализация механизмов общественного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контроля за деятельностью субъектов естественных монополий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Arial" w:hAnsi="Arial" w:eastAsia="Arial" w:cs="Arial"/>
          <w:sz w:val="24"/>
          <w:szCs w:val="24"/>
          <w:lang w:val="ru-RU" w:bidi="ru-RU"/>
        </w:rPr>
      </w:r>
      <w:r>
        <w:rPr>
          <w:rFonts w:ascii="Arial" w:hAnsi="Arial" w:eastAsia="Arial" w:cs="Arial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51. 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естественных монополий в соответствии с Концепцией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нологического и ценового аудита инвестиционных проектов субъектов естественных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 рамках указанных механизмов обеспечивается учет мнения потребителей товаров, работ, услуг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Также могут быть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учтены мнения представителей потребителей товаров, работ, услуг, задействованных в механизмах общественного контроля за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Для частичного достижения этих целей органам исполнительной власти субъекта Российск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Под учетом мнения потребителей товаров, работ, услуг понимается необходимость на всех стадиях рассмотрения инвестиционных проектов (пр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услуг, предпринимателей и экспертов, задействованных в рамках общественного контроля за деятельностью субъектов естественных монополий, в случае несогласия с мнениями указанных лиц давать в письменной форме развернутые обоснованные ответы на них с указани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52. Органы исп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олнительной власти субъекта Российской Федерации в рамках полномочий, закрепленных за ними законодательством Российской Федерации, обеспечивают контроль за раскрытием информации и деятельностью субъектов естественных монополий. Высшее должностное лицо обес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печивает общественный контроль за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53. Субъектам естественных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б) информацию о результатах технологического и ценового аудита инвестиционных проектов с указанием экс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пертной организации, осуществляющей технологический и ценовой 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 в осуществлении общественного контроля за деятельностью субъектов естественных монополий;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в) информацию о структуре тар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 и независимых экспертов;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г) иную информацию о своей деятельности, обязательное раскрытие которой предусмотрено законодательством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54. Раскрытие информации, указанной в </w:t>
      </w:r>
      <w:hyperlink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lang w:val="ru-RU" w:bidi="ru-RU"/>
          </w:rPr>
          <w:t xml:space="preserve">пункте 53</w:t>
        </w:r>
      </w:hyperlink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б) информации, отображающей на географической карте субъекта Российской Федерации ориентиро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 ее строительства, реконструкции);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в) информации об услугах (подача заявки на технологическое присоединение, подача правоустанавливающих документов (по объекту, юридическому и физичес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 документов на бумажном носителе) по подключению (технологическому присоединению) к сетям газ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ораспределения, к электрическим сетям, к системам теплоснабжения, к централизованным системам водоснабжения и водоотведения, оказываемых в электронном виде субъектами естественных монополий и ресурсоснабжающими организациями физическим и юридическим лицам.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56. Объем и детализация раскрытия информации должны обеспечивать прозрачность формирования тарифов на услуги субъектов естественных монополий и о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center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  <w:outlineLvl w:val="1"/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VIII. Повышение уровня информированности субъектов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предпринимательской деятельности и потребителей товаров,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работ, услуг о состоянии конкуренции и деятельности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по содействию развитию конкуренции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center"/>
        <w:spacing w:before="0" w:after="0" w:line="240" w:lineRule="auto"/>
      </w:pPr>
      <w:r>
        <w:rPr>
          <w:rFonts w:ascii="Arial" w:hAnsi="Arial" w:eastAsia="Arial" w:cs="Arial"/>
          <w:sz w:val="24"/>
          <w:szCs w:val="24"/>
          <w:lang w:val="ru-RU" w:bidi="ru-RU"/>
        </w:rPr>
      </w:r>
      <w:r>
        <w:rPr>
          <w:rFonts w:ascii="Arial" w:hAnsi="Arial" w:eastAsia="Arial" w:cs="Arial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интернет-портала об инвестиционной деятельности в субъекте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На официальном сайте уполномоченного органа в сети "Интернет" и интернет-портале об инвестиционной деятельности в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я по приоритетам развития субъекта Российской Федерации и видам деятельности, с указанием порядка получения указанной поддержки (в том числе в виде схемы) и показателей эффективности региональной программы, в рамках которой осуществляется эта деятельность.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58. Общественным организациям, представляющим интересы субъектов п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интернет-портале: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б) экспертных заключений ука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в) вопросов и предложений, адресованных высшему должностному лицу и органам исполнительной власти субъекта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24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59. В целях общественного контроля за деятельностью органов исполнительной власти субъектов Российской Федерации и органов местного самоуправления п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right"/>
        <w:spacing w:before="0" w:after="0" w:line="240" w:lineRule="auto"/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Приложение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right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к стандарту развития конкуренции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right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в субъектах Российской Федерации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center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</w:pPr>
      <w:r/>
      <w:bookmarkStart w:id="0" w:name="undefined"/>
      <w:r/>
      <w:bookmarkEnd w:id="0"/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ПЕРЕЧЕНЬ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ТОВАРНЫХ РЫНКОВ ДЛЯ СОДЕЙСТВИЯ РАЗВИТИЮ КОНКУРЕНЦИИ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1"/>
        <w:ind w:left="0" w:right="0" w:firstLine="0"/>
        <w:jc w:val="center"/>
        <w:spacing w:before="0" w:after="0" w:line="240" w:lineRule="auto"/>
      </w:pP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  <w:t xml:space="preserve">В СУБЪЕКТЕ РОССИЙСКОЙ ФЕДЕРАЦИИ</w:t>
      </w:r>
      <w:r>
        <w:rPr>
          <w:rFonts w:ascii="Arial" w:hAnsi="Arial" w:eastAsia="Arial" w:cs="Arial"/>
          <w:b/>
          <w:bCs/>
          <w:sz w:val="24"/>
          <w:szCs w:val="24"/>
          <w:lang w:val="ru-RU" w:bidi="ru-RU"/>
        </w:rPr>
      </w:r>
      <w:r/>
    </w:p>
    <w:p>
      <w:pPr>
        <w:pStyle w:val="1_880"/>
        <w:ind w:left="0" w:right="0" w:firstLine="540"/>
        <w:jc w:val="both"/>
        <w:spacing w:before="0" w:after="0" w:line="240" w:lineRule="auto"/>
      </w:pPr>
      <w:r>
        <w:rPr>
          <w:rFonts w:ascii="Arial" w:hAnsi="Arial" w:eastAsia="Arial" w:cs="Arial"/>
          <w:sz w:val="24"/>
          <w:szCs w:val="24"/>
          <w:lang w:val="ru-RU" w:bidi="ru-RU"/>
        </w:rPr>
      </w:r>
      <w:r>
        <w:rPr>
          <w:rFonts w:ascii="Arial" w:hAnsi="Arial" w:eastAsia="Arial" w:cs="Arial"/>
          <w:sz w:val="24"/>
          <w:szCs w:val="24"/>
          <w:lang w:val="ru-RU" w:bidi="ru-RU"/>
        </w:rPr>
      </w:r>
      <w:r/>
    </w:p>
    <w:tbl>
      <w:tblPr>
        <w:tblStyle w:val="1915"/>
        <w:tblW w:w="0" w:type="auto"/>
        <w:tblInd w:w="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0"/>
        <w:gridCol w:w="2154"/>
        <w:gridCol w:w="4535"/>
        <w:gridCol w:w="1870"/>
      </w:tblGrid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Arial" w:hAnsi="Arial" w:eastAsia="Arial" w:cs="Arial"/>
                <w:lang w:val="ru-RU" w:bidi="ru-RU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ru-RU" w:bidi="ru-RU"/>
              </w:rPr>
            </w:r>
            <w:r>
              <w:rPr>
                <w:rFonts w:ascii="Arial" w:hAnsi="Arial" w:eastAsia="Arial" w:cs="Arial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Наименование товарного рынка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Наименование ключевого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Минимальное значение ключевого показателя в 2022 году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услуг дошкольного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1,6, но не менее 1 частной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услуг общего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1, но не менее 1 частной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услуг среднего профессионального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обучающихся в частных образовательных организациях, реализующих основные профессиональные образовательные программы - образоват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5, но не менее 1 частной организации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услуг дополнительного образования детей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услуг дополнительного образования детей,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услуг детского отдыха и оздоровления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отдыха и оздоровления детей частной формы собственности,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медицинских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услуг розничной торговли лекарственными препаратами, медицинскими изделиями и сопутствующими товарами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vMerge w:val="restart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vMerge w:val="restart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психолого-педагогического сопровождения детей с ограниченными возможностями здоровья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vMerge w:val="continue"/>
            <w:textDirection w:val="lrTb"/>
            <w:noWrap w:val="false"/>
          </w:tcPr>
          <w:p>
            <w:pPr>
              <w:pStyle w:val="1_880"/>
              <w:ind w:left="0" w:righ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vMerge w:val="continue"/>
            <w:textDirection w:val="lrTb"/>
            <w:noWrap w:val="false"/>
          </w:tcPr>
          <w:p>
            <w:pPr>
              <w:pStyle w:val="1_880"/>
              <w:ind w:left="0" w:righ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детей с ограниченными возможностями здоровья (в возрасте до 3 лет), получающих услуги ранней диагностики, социализации и реа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социальных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негосударственных организаций социального обслуживания, предоставляющих социальные услуги,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ритуальных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ритуальных услуг,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теплоснабжения (производство тепловой энергии)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теплоснабжения (производство тепловой энергии),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услуг по сбору и транспортированию твердых коммунальных отходов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услуг по сбору и транспортированию твердых коммунальных отходов,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выполнения работ по благоустройству городской среды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выполнения работ по благоустройству городской среды,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выполнения работ по содержанию и текущему ремонту общего имущества собственников помещений в многоквартирном доме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поставки сжиженного газа в баллонах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поставки сжиженного газа в баллонах,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купли-продажи электрической энергии (мощности) на розничном рынке электрической энергии (мощности)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оказания услуг по перевозке пассажиров автомобильным транспортом по межмуниципальным маршрутам регулярных перевозок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оказания услуг по перевозке пассажиров и багажа легковым такси на территории субъекта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оказания услуг по ремонту автотранспортных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оказания услуг по ремонту автотранспортных средств,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vMerge w:val="restart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vMerge w:val="restart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vMerge w:val="continue"/>
            <w:textDirection w:val="lrTb"/>
            <w:noWrap w:val="false"/>
          </w:tcPr>
          <w:p>
            <w:pPr>
              <w:pStyle w:val="1_880"/>
              <w:ind w:left="0" w:righ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vMerge w:val="continue"/>
            <w:textDirection w:val="lrTb"/>
            <w:noWrap w:val="false"/>
          </w:tcPr>
          <w:p>
            <w:pPr>
              <w:pStyle w:val="1_880"/>
              <w:ind w:left="0" w:right="0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строительства объектов капитального строительства, за исключением жилищного и дорожного строительства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дорожной деятельности (за исключением проектирования)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дорожной деятельности (за исключением проектирования),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архитектурно-строительного проектирования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архитектурно-строительного проектирования,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кадастровых и землеустроительных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кадастровых и землеустроительных работ,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реализации сельскохозяйственной продукции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сельскохозяйственных потребительских кооперативов в общем объеме реализации сельскохозяйственной продукции,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лабораторных исследований для выдачи ветеринарных сопроводительных документов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племенного животноводства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на рынке племенного животноводства,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семеноводства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на рынке семеноводства,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вылова водных биоресурсов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на рынке вылова водных биоресурсов,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переработки водных биоресурсов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на рынке переработки водных биоресурсов,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товарной аквакультуры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на рынке товарной аквакультуры,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добычи общераспространенных полезных ископаемых на участках недр местного 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нефтепродуктов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на рынке нефтепродуктов,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легкой промышленности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легкой промышленности,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обработки древесины и производства изделий из дерева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обработки древесины и производства изделий из дерева,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39.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производства кирпича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производства кирпича,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Рынок производства бетона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производства бетона,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51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41.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54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Сфера наружной рекламы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доля организаций частной формы собственности в сфере наружной рекламы, процентов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70" w:type="dxa"/>
            <w:vAlign w:val="top"/>
            <w:textDirection w:val="lrTb"/>
            <w:noWrap w:val="false"/>
          </w:tcPr>
          <w:p>
            <w:pPr>
              <w:pStyle w:val="1_880"/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lang w:val="ru-RU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</w:r>
            <w:r/>
          </w:p>
        </w:tc>
      </w:tr>
    </w:tbl>
    <w:p>
      <w:pPr>
        <w:pStyle w:val="1_880"/>
        <w:ind w:left="0" w:right="0" w:firstLine="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r>
      <w:r/>
    </w:p>
    <w:p>
      <w:pPr>
        <w:pStyle w:val="1_880"/>
        <w:ind w:left="0" w:right="0" w:firstLine="0"/>
        <w:jc w:val="both"/>
        <w:spacing w:before="100" w:after="10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pBdr>
          <w:top w:val="single" w:color="000000" w:sz="6" w:space="0"/>
        </w:pBdr>
      </w:pPr>
      <w:r>
        <w:rPr>
          <w:rFonts w:ascii="Times New Roman" w:hAnsi="Times New Roman" w:eastAsia="Times New Roman" w:cs="Times New Roman"/>
          <w:sz w:val="2"/>
          <w:szCs w:val="2"/>
          <w:lang w:val="ru-RU" w:bidi="ru-RU"/>
        </w:rPr>
      </w:r>
      <w:r>
        <w:rPr>
          <w:rFonts w:ascii="Times New Roman" w:hAnsi="Times New Roman" w:eastAsia="Times New Roman" w:cs="Times New Roman"/>
          <w:sz w:val="2"/>
          <w:szCs w:val="2"/>
          <w:lang w:val="ru-RU" w:bidi="ru-RU"/>
        </w:rPr>
      </w:r>
      <w:r/>
    </w:p>
    <w:p>
      <w:r/>
      <w:r/>
    </w:p>
    <w:sectPr>
      <w:footnotePr/>
      <w:endnotePr/>
      <w:type w:val="nextPage"/>
      <w:pgSz w:w="11907" w:h="16840" w:orient="portrait"/>
      <w:pgMar w:top="1134" w:right="624" w:bottom="1134" w:left="1418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imes New Roman CYR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600"/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0"/>
    <w:next w:val="60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0"/>
    <w:next w:val="60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0"/>
    <w:next w:val="6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0"/>
    <w:next w:val="6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0"/>
    <w:next w:val="6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0"/>
    <w:next w:val="6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0"/>
    <w:next w:val="6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next w:val="600"/>
    <w:link w:val="600"/>
    <w:qFormat/>
    <w:rPr>
      <w:lang w:val="ru-RU" w:eastAsia="ru-RU" w:bidi="ar-SA"/>
    </w:rPr>
  </w:style>
  <w:style w:type="paragraph" w:styleId="601">
    <w:name w:val="Заголовок 1"/>
    <w:basedOn w:val="600"/>
    <w:next w:val="600"/>
    <w:link w:val="600"/>
    <w:qFormat/>
    <w:pPr>
      <w:jc w:val="center"/>
      <w:keepNext/>
      <w:outlineLvl w:val="0"/>
    </w:pPr>
    <w:rPr>
      <w:b/>
      <w:spacing w:val="24"/>
      <w:sz w:val="28"/>
    </w:rPr>
  </w:style>
  <w:style w:type="paragraph" w:styleId="602">
    <w:name w:val="Заголовок 2"/>
    <w:basedOn w:val="600"/>
    <w:next w:val="600"/>
    <w:link w:val="600"/>
    <w:qFormat/>
    <w:pPr>
      <w:jc w:val="center"/>
      <w:keepNext/>
      <w:outlineLvl w:val="1"/>
    </w:pPr>
    <w:rPr>
      <w:b/>
      <w:sz w:val="23"/>
    </w:rPr>
  </w:style>
  <w:style w:type="paragraph" w:styleId="603">
    <w:name w:val="Заголовок 3"/>
    <w:basedOn w:val="600"/>
    <w:next w:val="600"/>
    <w:link w:val="600"/>
    <w:qFormat/>
    <w:pPr>
      <w:jc w:val="center"/>
      <w:keepNext/>
      <w:spacing w:before="60" w:after="60"/>
      <w:outlineLvl w:val="2"/>
    </w:pPr>
    <w:rPr>
      <w:sz w:val="24"/>
    </w:rPr>
  </w:style>
  <w:style w:type="paragraph" w:styleId="604">
    <w:name w:val="Заголовок 4"/>
    <w:basedOn w:val="600"/>
    <w:next w:val="600"/>
    <w:link w:val="600"/>
    <w:qFormat/>
    <w:pPr>
      <w:jc w:val="center"/>
      <w:keepNext/>
      <w:outlineLvl w:val="3"/>
    </w:pPr>
    <w:rPr>
      <w:b/>
      <w:sz w:val="24"/>
    </w:rPr>
  </w:style>
  <w:style w:type="paragraph" w:styleId="605">
    <w:name w:val="Заголовок 5"/>
    <w:basedOn w:val="600"/>
    <w:next w:val="600"/>
    <w:link w:val="600"/>
    <w:qFormat/>
    <w:pPr>
      <w:jc w:val="center"/>
      <w:keepNext/>
      <w:outlineLvl w:val="4"/>
    </w:pPr>
    <w:rPr>
      <w:sz w:val="28"/>
    </w:rPr>
  </w:style>
  <w:style w:type="paragraph" w:styleId="606">
    <w:name w:val="Заголовок 6"/>
    <w:basedOn w:val="600"/>
    <w:next w:val="600"/>
    <w:link w:val="600"/>
    <w:qFormat/>
    <w:pPr>
      <w:jc w:val="center"/>
      <w:keepNext/>
      <w:outlineLvl w:val="5"/>
    </w:pPr>
    <w:rPr>
      <w:b/>
    </w:rPr>
  </w:style>
  <w:style w:type="paragraph" w:styleId="607">
    <w:name w:val="Заголовок 7"/>
    <w:basedOn w:val="600"/>
    <w:next w:val="600"/>
    <w:link w:val="600"/>
    <w:qFormat/>
    <w:pPr>
      <w:keepNext/>
      <w:outlineLvl w:val="6"/>
    </w:pPr>
    <w:rPr>
      <w:sz w:val="28"/>
    </w:rPr>
  </w:style>
  <w:style w:type="paragraph" w:styleId="608">
    <w:name w:val="Заголовок 8"/>
    <w:basedOn w:val="600"/>
    <w:next w:val="600"/>
    <w:link w:val="600"/>
    <w:qFormat/>
    <w:pPr>
      <w:jc w:val="right"/>
      <w:keepNext/>
      <w:outlineLvl w:val="7"/>
    </w:pPr>
    <w:rPr>
      <w:sz w:val="28"/>
    </w:rPr>
  </w:style>
  <w:style w:type="character" w:styleId="609">
    <w:name w:val="Основной шрифт абзаца"/>
    <w:next w:val="609"/>
    <w:link w:val="600"/>
    <w:semiHidden/>
  </w:style>
  <w:style w:type="table" w:styleId="610">
    <w:name w:val="Обычная таблица"/>
    <w:next w:val="610"/>
    <w:link w:val="600"/>
    <w:semiHidden/>
    <w:tblPr/>
  </w:style>
  <w:style w:type="numbering" w:styleId="611">
    <w:name w:val="Нет списка"/>
    <w:next w:val="611"/>
    <w:link w:val="600"/>
    <w:semiHidden/>
  </w:style>
  <w:style w:type="paragraph" w:styleId="612">
    <w:name w:val="Основной текст с отступом 2"/>
    <w:basedOn w:val="600"/>
    <w:next w:val="612"/>
    <w:link w:val="600"/>
    <w:pPr>
      <w:ind w:firstLine="720"/>
      <w:jc w:val="both"/>
    </w:pPr>
    <w:rPr>
      <w:sz w:val="28"/>
    </w:rPr>
  </w:style>
  <w:style w:type="paragraph" w:styleId="613">
    <w:name w:val="Текст выноски"/>
    <w:basedOn w:val="600"/>
    <w:next w:val="613"/>
    <w:link w:val="600"/>
    <w:semiHidden/>
    <w:rPr>
      <w:rFonts w:ascii="Tahoma" w:hAnsi="Tahoma" w:cs="Tahoma"/>
      <w:sz w:val="16"/>
      <w:szCs w:val="16"/>
    </w:rPr>
  </w:style>
  <w:style w:type="character" w:styleId="614">
    <w:name w:val="Гиперссылка"/>
    <w:basedOn w:val="609"/>
    <w:next w:val="614"/>
    <w:link w:val="600"/>
    <w:rPr>
      <w:color w:val="0000ff"/>
      <w:u w:val="single"/>
    </w:rPr>
  </w:style>
  <w:style w:type="paragraph" w:styleId="615">
    <w:name w:val="Текст сноски"/>
    <w:basedOn w:val="600"/>
    <w:next w:val="615"/>
    <w:link w:val="616"/>
  </w:style>
  <w:style w:type="character" w:styleId="616">
    <w:name w:val="Текст сноски Знак"/>
    <w:basedOn w:val="609"/>
    <w:next w:val="616"/>
    <w:link w:val="615"/>
  </w:style>
  <w:style w:type="paragraph" w:styleId="617">
    <w:name w:val="Абзац списка1"/>
    <w:basedOn w:val="600"/>
    <w:next w:val="617"/>
    <w:link w:val="600"/>
    <w:pPr>
      <w:contextualSpacing/>
      <w:ind w:left="720"/>
      <w:jc w:val="both"/>
      <w:spacing w:line="360" w:lineRule="atLeast"/>
    </w:pPr>
    <w:rPr>
      <w:rFonts w:ascii="Times New Roman CYR" w:hAnsi="Times New Roman CYR" w:eastAsia="Calibri"/>
      <w:sz w:val="28"/>
    </w:rPr>
  </w:style>
  <w:style w:type="character" w:styleId="1913" w:default="1">
    <w:name w:val="Default Paragraph Font"/>
    <w:uiPriority w:val="1"/>
    <w:semiHidden/>
    <w:unhideWhenUsed/>
  </w:style>
  <w:style w:type="numbering" w:styleId="1914" w:default="1">
    <w:name w:val="No List"/>
    <w:uiPriority w:val="99"/>
    <w:semiHidden/>
    <w:unhideWhenUsed/>
  </w:style>
  <w:style w:type="table" w:styleId="1915" w:default="1">
    <w:name w:val="Normal Table"/>
    <w:uiPriority w:val="99"/>
    <w:semiHidden/>
    <w:unhideWhenUsed/>
    <w:tblPr/>
  </w:style>
  <w:style w:type="paragraph" w:styleId="1_882" w:customStyle="1">
    <w:name w:val="ConsPlusTitlePag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ahoma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1_880" w:customStyle="1">
    <w:name w:val="ConsPlusNormal"/>
    <w:uiPriority w:val="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  <w14:ligatures w14:val="none"/>
    </w:rPr>
  </w:style>
  <w:style w:type="paragraph" w:styleId="1_881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consultant.ru" TargetMode="External"/><Relationship Id="rId11" Type="http://schemas.openxmlformats.org/officeDocument/2006/relationships/hyperlink" Target="http://www.consultan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Administration</Company>
  <DocSecurity>0</DocSecurity>
  <HyperlinksChanged>false</HyperlinksChanged>
  <ScaleCrop>false</ScaleCrop>
  <SharedDoc>false</SharedDoc>
  <Template>Бланк именной Костыгова Н.В.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Медведская</dc:creator>
  <cp:revision>3</cp:revision>
  <dcterms:created xsi:type="dcterms:W3CDTF">2018-05-29T06:22:00Z</dcterms:created>
  <dcterms:modified xsi:type="dcterms:W3CDTF">2024-01-18T17:08:29Z</dcterms:modified>
  <cp:version>786432</cp:version>
</cp:coreProperties>
</file>