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both"/>
        <w:rPr>
          <w:b w:val="1"/>
          <w:sz w:val="26"/>
        </w:rPr>
      </w:pPr>
      <w:r>
        <w:rPr>
          <w:b w:val="1"/>
          <w:sz w:val="26"/>
        </w:rPr>
        <w:t xml:space="preserve">Информация по проведенному контрольному мероприятию: </w:t>
      </w:r>
      <w:r>
        <w:rPr>
          <w:b w:val="1"/>
          <w:sz w:val="26"/>
        </w:rPr>
        <w:t>«Проверка законного и эффективного испо</w:t>
      </w:r>
      <w:r>
        <w:rPr>
          <w:b w:val="1"/>
          <w:sz w:val="26"/>
        </w:rPr>
        <w:t xml:space="preserve">льзования средств, выделенных на мероприятия по реализации </w:t>
      </w:r>
      <w:r>
        <w:rPr>
          <w:b w:val="1"/>
          <w:sz w:val="26"/>
        </w:rPr>
        <w:t>проекта «Народный бюджет» за 2024 год Талицкого ТУ Кирилловского округа».</w:t>
      </w:r>
    </w:p>
    <w:p w14:paraId="04000000">
      <w:pPr>
        <w:ind/>
        <w:jc w:val="both"/>
        <w:rPr>
          <w:b w:val="1"/>
          <w:sz w:val="26"/>
        </w:rPr>
      </w:pPr>
    </w:p>
    <w:p w14:paraId="05000000">
      <w:pPr>
        <w:widowControl w:val="0"/>
        <w:ind w:firstLine="624" w:left="40" w:right="40"/>
        <w:jc w:val="both"/>
        <w:rPr>
          <w:sz w:val="26"/>
        </w:rPr>
      </w:pPr>
      <w:r>
        <w:rPr>
          <w:sz w:val="26"/>
        </w:rPr>
        <w:t xml:space="preserve">Проверка </w:t>
      </w:r>
      <w:r>
        <w:rPr>
          <w:sz w:val="26"/>
        </w:rPr>
        <w:t xml:space="preserve">законного и эффективного использования средств, выделенных </w:t>
      </w:r>
      <w:r>
        <w:rPr>
          <w:sz w:val="26"/>
        </w:rPr>
        <w:t xml:space="preserve"> </w:t>
      </w:r>
      <w:r>
        <w:rPr>
          <w:sz w:val="26"/>
        </w:rPr>
        <w:t xml:space="preserve">на мероприятия по реализации проекта «Народный бюджет» за 2024 год Талицкого ТУ Кирилловского округа </w:t>
      </w:r>
      <w:bookmarkStart w:id="1" w:name="_GoBack"/>
      <w:bookmarkEnd w:id="1"/>
      <w:r>
        <w:rPr>
          <w:sz w:val="26"/>
        </w:rPr>
        <w:t xml:space="preserve"> проведена  контрольно -счетным комитетом Кирилловского муниципального округа Вологодской области камеральным методом в рамках требований стандарта «Общие правила проведения контрольного мероприятия»</w:t>
      </w:r>
    </w:p>
    <w:p w14:paraId="06000000">
      <w:pPr>
        <w:pStyle w:val="Style_2"/>
        <w:spacing w:after="0" w:before="0"/>
        <w:ind/>
        <w:rPr>
          <w:rFonts w:ascii="Times New Roman" w:hAnsi="Times New Roman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  <w:highlight w:val="white"/>
        </w:rPr>
        <w:t xml:space="preserve">  Талицкое территориальное управление администрации Кирилловского муниципального округа Вологодской области (далее – Талицкое ТУ, территориальное управление) создано в соответствии с решением Представительного Собрания Кирилловского муниципального округа Вологодской области от 16.11.2023 № 47 «О создании Талицкого территориального управления администрации Кирилловского муниципального округа Вологодской области»</w:t>
      </w:r>
    </w:p>
    <w:p w14:paraId="07000000">
      <w:pPr>
        <w:pStyle w:val="Style_2"/>
        <w:spacing w:after="0" w:before="0"/>
        <w:ind/>
        <w:rPr>
          <w:rFonts w:ascii="Times New Roman" w:hAnsi="Times New Roman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  <w:highlight w:val="white"/>
        </w:rPr>
        <w:t xml:space="preserve">   Талицкое ТУ является территориальным органом администрации Кирилловского муниципального округа, осуществляющим реализацию отдельных полномочий по решению вопросов местного значения и иных управленческих полномочий.</w:t>
      </w:r>
    </w:p>
    <w:p w14:paraId="08000000">
      <w:pPr>
        <w:pStyle w:val="Style_2"/>
        <w:spacing w:after="0" w:before="0"/>
        <w:ind/>
        <w:rPr>
          <w:rFonts w:ascii="Tinos" w:hAnsi="Tinos"/>
          <w:b w:val="0"/>
          <w:sz w:val="26"/>
          <w:highlight w:val="white"/>
        </w:rPr>
      </w:pPr>
      <w:r>
        <w:rPr>
          <w:rFonts w:ascii="Times New Roman" w:hAnsi="Times New Roman"/>
          <w:b w:val="0"/>
          <w:sz w:val="26"/>
          <w:highlight w:val="white"/>
        </w:rPr>
        <w:t xml:space="preserve">   </w:t>
      </w:r>
      <w:r>
        <w:rPr>
          <w:rFonts w:ascii="Tinos" w:hAnsi="Tinos"/>
          <w:b w:val="0"/>
          <w:sz w:val="26"/>
        </w:rPr>
        <w:t xml:space="preserve">     </w:t>
      </w:r>
      <w:r>
        <w:rPr>
          <w:rFonts w:ascii="Tinos" w:hAnsi="Tinos"/>
          <w:sz w:val="26"/>
          <w:highlight w:val="white"/>
        </w:rPr>
        <w:t>Выводы:</w:t>
      </w:r>
    </w:p>
    <w:p w14:paraId="09000000">
      <w:pPr>
        <w:ind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В ходе проверки законного и эффективного использования средств, выделенных на мероприятия по реализации проекта «Народный бюджет» Талицкого ТУ за 2024 год проверены бюджетные средства в сумме </w:t>
      </w:r>
      <w:r>
        <w:rPr>
          <w:rFonts w:ascii="Tinos" w:hAnsi="Tinos"/>
          <w:b w:val="1"/>
          <w:sz w:val="26"/>
        </w:rPr>
        <w:t>1050000,00</w:t>
      </w:r>
      <w:r>
        <w:rPr>
          <w:rFonts w:ascii="Tinos" w:hAnsi="Tinos"/>
          <w:sz w:val="26"/>
        </w:rPr>
        <w:t xml:space="preserve"> рублей.</w:t>
      </w:r>
    </w:p>
    <w:p w14:paraId="0A000000">
      <w:pPr>
        <w:ind/>
        <w:contextualSpacing w:val="1"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 xml:space="preserve">   В рамках проверки установлены следующие нарушения:</w:t>
      </w:r>
    </w:p>
    <w:p w14:paraId="0B000000">
      <w:pPr>
        <w:rPr>
          <w:sz w:val="26"/>
        </w:rPr>
      </w:pPr>
      <w:r>
        <w:rPr>
          <w:sz w:val="24"/>
        </w:rPr>
        <w:t xml:space="preserve">     </w:t>
      </w:r>
      <w:r>
        <w:rPr>
          <w:sz w:val="26"/>
        </w:rPr>
        <w:t>1. В нарушение ч.1 ст.23 Закона № 44-ФЗ при осуществлении закупок в договорах не указан идентификационный код закупки.</w:t>
      </w:r>
    </w:p>
    <w:p w14:paraId="0C000000">
      <w:pPr>
        <w:rPr>
          <w:sz w:val="26"/>
        </w:rPr>
      </w:pPr>
      <w:r>
        <w:rPr>
          <w:sz w:val="26"/>
          <w:highlight w:val="white"/>
        </w:rPr>
        <w:t xml:space="preserve">     2.В нарушение ст.22 Федерального закона №44-ФЗ начальная (максимальная) цена контракта заказчиком не обоснована.</w:t>
      </w:r>
    </w:p>
    <w:p w14:paraId="0D000000">
      <w:pPr>
        <w:rPr>
          <w:sz w:val="26"/>
        </w:rPr>
      </w:pPr>
      <w:r>
        <w:rPr>
          <w:sz w:val="26"/>
        </w:rPr>
        <w:t xml:space="preserve">     3. В нарушение ч. 1 ст. 16 – произведены закупки товаров, работ и услуг  в сумме 1050000,00  рубля, не включенные в план-график закупок на 2024 год;</w:t>
      </w:r>
    </w:p>
    <w:p w14:paraId="0E000000">
      <w:pPr>
        <w:rPr>
          <w:sz w:val="26"/>
        </w:rPr>
      </w:pPr>
      <w:r>
        <w:rPr>
          <w:sz w:val="26"/>
        </w:rPr>
        <w:t xml:space="preserve">     4. В нарушение ч. 8 ст. 16, п. 22 Постановления Правительства РФ от 30.09.2019 № 1279 -  ведение плана-графика закупок товаров, работ, услуг для обеспечения государственных и муниципальных нужд (в план – график не внесены изменения);</w:t>
      </w:r>
    </w:p>
    <w:p w14:paraId="0F000000">
      <w:pPr>
        <w:rPr>
          <w:sz w:val="26"/>
        </w:rPr>
      </w:pPr>
      <w:r>
        <w:rPr>
          <w:sz w:val="26"/>
        </w:rPr>
        <w:t xml:space="preserve">     5. В нарушение ст. 34 не соблюдены сроки оплаты по договорам, заключенным с единственным поставщиком.</w:t>
      </w:r>
    </w:p>
    <w:p w14:paraId="10000000">
      <w:pPr>
        <w:rPr>
          <w:sz w:val="26"/>
        </w:rPr>
      </w:pPr>
      <w:r>
        <w:rPr>
          <w:sz w:val="26"/>
          <w:highlight w:val="white"/>
        </w:rPr>
        <w:t xml:space="preserve">     6.</w:t>
      </w:r>
      <w:r>
        <w:rPr>
          <w:sz w:val="26"/>
        </w:rPr>
        <w:t xml:space="preserve"> В нарушение пункта 38 Инструкции N 157н и пункта 7 Приказа Минфина России от 31.12.2016 N 257н "Об утверждении федерального стандарта бухгалтерского учета для организаций государственного сектора "Основные средства" объект основных средств отражен в учете как материальные запасы.</w:t>
      </w:r>
    </w:p>
    <w:p w14:paraId="11000000">
      <w:pPr>
        <w:rPr>
          <w:sz w:val="26"/>
        </w:rPr>
      </w:pPr>
      <w:r>
        <w:rPr>
          <w:sz w:val="26"/>
          <w:highlight w:val="white"/>
        </w:rPr>
        <w:t xml:space="preserve">     7.</w:t>
      </w:r>
      <w:r>
        <w:rPr>
          <w:sz w:val="26"/>
        </w:rPr>
        <w:t xml:space="preserve"> В нарушение пункта 34 Приказа Министерства финансов Российской Федерации от 1 декабря 2010г. №157н после завершения работ по благоустройству территории постоянно действующей комиссией по поступлению и выбытию активов, не принято решение об учете объектов, имеющих самостоятельные функции в качестве отдельных инвентарных объектов в составе нефинансовых активов.</w:t>
      </w:r>
    </w:p>
    <w:p w14:paraId="12000000">
      <w:pPr>
        <w:tabs>
          <w:tab w:leader="none" w:pos="2676" w:val="left"/>
        </w:tabs>
        <w:ind/>
        <w:jc w:val="both"/>
        <w:rPr>
          <w:sz w:val="26"/>
        </w:rPr>
      </w:pPr>
      <w:r>
        <w:rPr>
          <w:sz w:val="24"/>
          <w:highlight w:val="white"/>
        </w:rPr>
        <w:t xml:space="preserve">     8.</w:t>
      </w:r>
      <w:r>
        <w:rPr>
          <w:sz w:val="24"/>
        </w:rPr>
        <w:t>В</w:t>
      </w:r>
      <w:r>
        <w:rPr>
          <w:sz w:val="26"/>
        </w:rPr>
        <w:t xml:space="preserve"> нарушение статьи 34 Бюджетного кодекса выявлено неэффективное использовании средств бюджета округа в размере 100000,00 рублей</w:t>
      </w:r>
      <w:r>
        <w:rPr>
          <w:i w:val="1"/>
          <w:sz w:val="26"/>
        </w:rPr>
        <w:t>.</w:t>
      </w:r>
    </w:p>
    <w:p w14:paraId="13000000">
      <w:pPr>
        <w:ind w:firstLine="426" w:left="0"/>
        <w:contextualSpacing w:val="1"/>
        <w:jc w:val="both"/>
        <w:rPr>
          <w:rFonts w:ascii="Tinos" w:hAnsi="Tinos"/>
          <w:b w:val="1"/>
          <w:sz w:val="26"/>
          <w:highlight w:val="white"/>
        </w:rPr>
      </w:pPr>
    </w:p>
    <w:p w14:paraId="14000000">
      <w:pPr>
        <w:pStyle w:val="Style_2"/>
        <w:spacing w:after="0" w:before="0"/>
        <w:ind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sz w:val="26"/>
          <w:highlight w:val="white"/>
        </w:rPr>
        <w:t>По результатам контрольного мероприятия даны рекомендации:</w:t>
      </w:r>
    </w:p>
    <w:p w14:paraId="15000000">
      <w:pPr>
        <w:ind w:firstLine="360" w:left="0"/>
        <w:jc w:val="both"/>
        <w:rPr>
          <w:sz w:val="26"/>
        </w:rPr>
      </w:pPr>
      <w:r>
        <w:rPr>
          <w:sz w:val="26"/>
        </w:rPr>
        <w:t>При заключении договоров и расчетов с поставщиками и подрядчиками в полной мере учитывать требования по соблюдению норм Федерального Закона «О контрактной системе в сфере закупок товаров, работ, услуг для обеспечения государственных и муниципальных нужд» от 05.04. 2013 г. № 44-ФЗ.</w:t>
      </w:r>
    </w:p>
    <w:p w14:paraId="16000000">
      <w:pPr>
        <w:ind w:firstLine="360" w:left="0"/>
        <w:jc w:val="both"/>
        <w:rPr>
          <w:sz w:val="26"/>
        </w:rPr>
      </w:pPr>
      <w:r>
        <w:rPr>
          <w:sz w:val="26"/>
        </w:rPr>
        <w:t>Не допускать нарушения Инструкции №157н и Приказа Минфина России от 31.12.2016 N 257н "Об утверждении федерального стандарта бухгалтерского учета для организаций государственного сектора "Основные средства"</w:t>
      </w:r>
    </w:p>
    <w:p w14:paraId="17000000">
      <w:pPr>
        <w:ind w:firstLine="360" w:left="0"/>
        <w:jc w:val="both"/>
        <w:rPr>
          <w:sz w:val="26"/>
        </w:rPr>
      </w:pPr>
      <w:r>
        <w:rPr>
          <w:color w:val="1A1A1A"/>
          <w:sz w:val="26"/>
        </w:rPr>
        <w:t>Не допускать неэффективного использования бюджетных средств</w:t>
      </w:r>
      <w:r>
        <w:rPr>
          <w:color w:themeColor="text1" w:val="000000"/>
          <w:sz w:val="26"/>
        </w:rPr>
        <w:t>.</w:t>
      </w:r>
    </w:p>
    <w:p w14:paraId="18000000">
      <w:pPr>
        <w:tabs>
          <w:tab w:leader="none" w:pos="2676" w:val="left"/>
        </w:tabs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  <w:highlight w:val="white"/>
        </w:rPr>
        <w:t xml:space="preserve">  </w:t>
      </w:r>
      <w:r>
        <w:rPr>
          <w:rFonts w:ascii="Tinos" w:hAnsi="Tinos"/>
          <w:sz w:val="26"/>
          <w:highlight w:val="white"/>
        </w:rPr>
        <w:t xml:space="preserve">   </w:t>
      </w:r>
      <w:r>
        <w:rPr>
          <w:rFonts w:ascii="Tinos" w:hAnsi="Tinos"/>
          <w:sz w:val="26"/>
          <w:highlight w:val="white"/>
        </w:rPr>
        <w:t xml:space="preserve">В целях повышения эффективности использования средств, выделенных на мероприятия по реализации проекта «Народный бюджет» контрольно-счетный комитет округа рекомендует Талицкому территориальному управлению администрации Кирилловского муниципального округа Вологодской области проанализировать результаты контрольного мероприятия, принять действенные меры по устранению отмеченных в ходе мероприятия замечаний и недостатков, а также исключению подобных фактов в дальнейшем. </w:t>
      </w:r>
    </w:p>
    <w:p w14:paraId="19000000">
      <w:pPr>
        <w:tabs>
          <w:tab w:leader="none" w:pos="2676" w:val="left"/>
        </w:tabs>
        <w:ind/>
        <w:jc w:val="both"/>
        <w:rPr>
          <w:sz w:val="26"/>
        </w:rPr>
      </w:pPr>
    </w:p>
    <w:p w14:paraId="1A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>По результатам контрольного мероприятия начальнику территориального управления вынесено представление на устранение выявленных нарушений.</w:t>
      </w:r>
    </w:p>
    <w:p w14:paraId="1B000000">
      <w:pPr>
        <w:ind/>
        <w:jc w:val="both"/>
        <w:rPr>
          <w:sz w:val="28"/>
          <w:highlight w:val="white"/>
        </w:rPr>
      </w:pPr>
      <w:r>
        <w:rPr>
          <w:sz w:val="28"/>
        </w:rPr>
        <w:t xml:space="preserve">Отчет о результатах контрольного мероприятия направлен главе Кирилловского муниципального района, копия отчета направлена в </w:t>
      </w:r>
      <w:r>
        <w:rPr>
          <w:color w:val="000000"/>
          <w:sz w:val="28"/>
        </w:rPr>
        <w:t xml:space="preserve">прокуратуру </w:t>
      </w:r>
      <w:r>
        <w:rPr>
          <w:sz w:val="28"/>
        </w:rPr>
        <w:t>Кирилловского муниципального района для правовой оценки выявленных нарушений.</w:t>
      </w:r>
    </w:p>
    <w:p w14:paraId="1C000000">
      <w:pPr>
        <w:widowControl w:val="0"/>
        <w:ind/>
        <w:jc w:val="both"/>
        <w:rPr>
          <w:rFonts w:ascii="Tinos" w:hAnsi="Tinos"/>
          <w:color w:val="FF0000"/>
          <w:sz w:val="26"/>
        </w:rPr>
      </w:pPr>
    </w:p>
    <w:p w14:paraId="1D000000">
      <w:pPr>
        <w:widowControl w:val="0"/>
        <w:ind/>
        <w:jc w:val="both"/>
        <w:rPr>
          <w:rFonts w:ascii="Tinos" w:hAnsi="Tinos"/>
          <w:sz w:val="26"/>
        </w:rPr>
      </w:pPr>
      <w:r>
        <w:rPr>
          <w:rFonts w:ascii="Tinos" w:hAnsi="Tinos"/>
          <w:sz w:val="26"/>
        </w:rPr>
        <w:t>.</w:t>
      </w:r>
    </w:p>
    <w:p w14:paraId="1E000000">
      <w:pPr>
        <w:widowControl w:val="0"/>
        <w:ind/>
        <w:jc w:val="both"/>
        <w:rPr>
          <w:sz w:val="22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420"/>
        <w:gridCol w:w="9160"/>
        <w:gridCol w:w="626"/>
      </w:tblGrid>
      <w:tr>
        <w:trPr>
          <w:trHeight w:hRule="atLeast" w:val="240"/>
        </w:trPr>
        <w:tc>
          <w:tcPr>
            <w:tcW w:type="dxa" w:w="10206"/>
            <w:gridSpan w:val="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1F000000">
            <w:pPr>
              <w:pStyle w:val="Style_4"/>
              <w:spacing w:after="0"/>
              <w:ind/>
              <w:jc w:val="both"/>
              <w:rPr>
                <w:b w:val="1"/>
                <w:sz w:val="24"/>
              </w:rPr>
            </w:pPr>
            <w:r>
              <w:rPr>
                <w:sz w:val="28"/>
                <w:highlight w:val="white"/>
              </w:rPr>
              <w:t xml:space="preserve">  </w:t>
            </w:r>
            <w:bookmarkStart w:id="2" w:name="sub_3"/>
            <w:bookmarkEnd w:id="2"/>
          </w:p>
          <w:p w14:paraId="20000000">
            <w:pPr>
              <w:pStyle w:val="Style_5"/>
              <w:rPr>
                <w:vertAlign w:val="superscript"/>
              </w:rPr>
            </w:pPr>
          </w:p>
          <w:p w14:paraId="21000000">
            <w:pPr>
              <w:rPr>
                <w:sz w:val="26"/>
              </w:rPr>
            </w:pPr>
          </w:p>
        </w:tc>
      </w:tr>
      <w:tr>
        <w:tc>
          <w:tcPr>
            <w:tcW w:type="dxa" w:w="10206"/>
            <w:gridSpan w:val="3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2000000">
            <w:pPr>
              <w:ind/>
              <w:contextualSpacing w:val="1"/>
              <w:rPr>
                <w:rFonts w:ascii="Arial" w:hAnsi="Arial"/>
                <w:sz w:val="26"/>
              </w:rPr>
            </w:pPr>
          </w:p>
        </w:tc>
      </w:tr>
      <w:tr>
        <w:tc>
          <w:tcPr>
            <w:tcW w:type="dxa" w:w="420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3000000">
            <w:pPr>
              <w:ind/>
              <w:contextualSpacing w:val="1"/>
              <w:rPr>
                <w:rFonts w:ascii="Arial" w:hAnsi="Arial"/>
                <w:sz w:val="26"/>
              </w:rPr>
            </w:pPr>
          </w:p>
        </w:tc>
        <w:tc>
          <w:tcPr>
            <w:tcW w:type="dxa" w:w="9160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4000000">
            <w:pPr>
              <w:ind w:firstLine="720" w:left="0"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  <w:tc>
          <w:tcPr>
            <w:tcW w:type="dxa" w:w="626"/>
            <w:tcBorders>
              <w:top w:color="F5F3DA" w:sz="4" w:val="single"/>
              <w:left w:color="F5F3DA" w:sz="4" w:val="single"/>
              <w:bottom w:color="F5F3DA" w:sz="4" w:val="single"/>
              <w:right w:color="F5F3DA" w:sz="4" w:val="single"/>
            </w:tcBorders>
            <w:shd w:fill="F5F3DA" w:val="clear"/>
          </w:tcPr>
          <w:p w14:paraId="25000000">
            <w:pPr>
              <w:ind w:firstLine="720" w:left="0"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</w:tr>
      <w:tr>
        <w:trPr>
          <w:trHeight w:hRule="atLeast" w:val="240"/>
        </w:trPr>
        <w:tc>
          <w:tcPr>
            <w:tcW w:type="dxa" w:w="10206"/>
            <w:gridSpan w:val="3"/>
            <w:tcBorders>
              <w:top w:color="FFFFFF" w:sz="4" w:val="single"/>
              <w:left w:color="FFFFFF" w:sz="4" w:val="single"/>
              <w:bottom w:color="FFFFFF" w:sz="4" w:val="single"/>
              <w:right w:color="FFFFFF" w:sz="4" w:val="single"/>
            </w:tcBorders>
          </w:tcPr>
          <w:p w14:paraId="26000000">
            <w:pPr>
              <w:ind/>
              <w:contextualSpacing w:val="1"/>
              <w:jc w:val="both"/>
              <w:rPr>
                <w:rFonts w:ascii="Arial" w:hAnsi="Arial"/>
                <w:sz w:val="26"/>
              </w:rPr>
            </w:pPr>
          </w:p>
        </w:tc>
      </w:tr>
    </w:tbl>
    <w:p w14:paraId="27000000">
      <w:pPr>
        <w:ind/>
        <w:contextualSpacing w:val="1"/>
        <w:jc w:val="both"/>
        <w:rPr>
          <w:sz w:val="26"/>
        </w:rPr>
      </w:pPr>
    </w:p>
    <w:sectPr>
      <w:footerReference r:id="rId1" w:type="default"/>
      <w:pgSz w:h="16838" w:orient="portrait" w:w="11906"/>
      <w:pgMar w:bottom="993" w:footer="133" w:gutter="0" w:header="708" w:left="1276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6_ch" w:type="character">
    <w:name w:val="Normal"/>
    <w:link w:val="Style_6"/>
    <w:rPr>
      <w:rFonts w:ascii="Times New Roman" w:hAnsi="Times New Roman"/>
      <w:sz w:val="28"/>
    </w:rPr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8" w:type="paragraph">
    <w:name w:val="Содержимое таблицы"/>
    <w:basedOn w:val="Style_6"/>
    <w:link w:val="Style_8_ch"/>
    <w:pPr>
      <w:widowControl w:val="0"/>
      <w:ind/>
    </w:pPr>
    <w:rPr>
      <w:rFonts w:ascii="Arial" w:hAnsi="Arial"/>
      <w:sz w:val="20"/>
    </w:rPr>
  </w:style>
  <w:style w:styleId="Style_8_ch" w:type="character">
    <w:name w:val="Содержимое таблицы"/>
    <w:basedOn w:val="Style_6_ch"/>
    <w:link w:val="Style_8"/>
    <w:rPr>
      <w:rFonts w:ascii="Arial" w:hAnsi="Arial"/>
      <w:sz w:val="20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No Spacing"/>
    <w:link w:val="Style_9"/>
    <w:rPr>
      <w:rFonts w:ascii="Calibri" w:hAnsi="Calibri"/>
    </w:rPr>
  </w:style>
  <w:style w:styleId="Style_10" w:type="paragraph">
    <w:name w:val="toc 2"/>
    <w:next w:val="Style_6"/>
    <w:link w:val="Style_10_ch"/>
    <w:uiPriority w:val="39"/>
    <w:pPr>
      <w:ind w:firstLine="0" w:left="200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toc 4"/>
    <w:next w:val="Style_6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Font Style15"/>
    <w:basedOn w:val="Style_15"/>
    <w:link w:val="Style_14_ch"/>
    <w:rPr>
      <w:rFonts w:ascii="Times New Roman" w:hAnsi="Times New Roman"/>
    </w:rPr>
  </w:style>
  <w:style w:styleId="Style_14_ch" w:type="character">
    <w:name w:val="Font Style15"/>
    <w:basedOn w:val="Style_15_ch"/>
    <w:link w:val="Style_14"/>
    <w:rPr>
      <w:rFonts w:ascii="Times New Roman" w:hAnsi="Times New Roman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6_ch"/>
    <w:link w:val="Style_1"/>
    <w:rPr>
      <w:sz w:val="24"/>
    </w:rPr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toc 6"/>
    <w:next w:val="Style_6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ConsPlusNonformat"/>
    <w:link w:val="Style_18_ch"/>
    <w:pPr>
      <w:spacing w:after="0" w:line="240" w:lineRule="auto"/>
      <w:ind/>
    </w:pPr>
    <w:rPr>
      <w:rFonts w:ascii="Courier New" w:hAnsi="Courier New"/>
      <w:sz w:val="20"/>
    </w:rPr>
  </w:style>
  <w:style w:styleId="Style_18_ch" w:type="character">
    <w:name w:val="ConsPlusNonformat"/>
    <w:link w:val="Style_18"/>
    <w:rPr>
      <w:rFonts w:ascii="Courier New" w:hAnsi="Courier New"/>
      <w:sz w:val="20"/>
    </w:rPr>
  </w:style>
  <w:style w:styleId="Style_19" w:type="paragraph">
    <w:name w:val="toc 7"/>
    <w:next w:val="Style_6"/>
    <w:link w:val="Style_19_ch"/>
    <w:uiPriority w:val="39"/>
    <w:pPr>
      <w:ind w:firstLine="0" w:left="1200"/>
    </w:pPr>
    <w:rPr>
      <w:rFonts w:ascii="XO Thames" w:hAnsi="XO Thames"/>
      <w:sz w:val="28"/>
    </w:rPr>
  </w:style>
  <w:style w:styleId="Style_19_ch" w:type="character">
    <w:name w:val="toc 7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Знак сноски1"/>
    <w:basedOn w:val="Style_22"/>
    <w:link w:val="Style_21_ch"/>
    <w:rPr>
      <w:vertAlign w:val="superscript"/>
    </w:rPr>
  </w:style>
  <w:style w:styleId="Style_21_ch" w:type="character">
    <w:name w:val="Знак сноски1"/>
    <w:basedOn w:val="Style_22_ch"/>
    <w:link w:val="Style_21"/>
    <w:rPr>
      <w:vertAlign w:val="superscript"/>
    </w:rPr>
  </w:style>
  <w:style w:styleId="Style_23" w:type="paragraph">
    <w:name w:val="Style6"/>
    <w:basedOn w:val="Style_6"/>
    <w:link w:val="Style_23_ch"/>
    <w:pPr>
      <w:widowControl w:val="0"/>
      <w:spacing w:line="276" w:lineRule="exact"/>
      <w:ind w:firstLine="720" w:left="0"/>
      <w:jc w:val="both"/>
    </w:pPr>
    <w:rPr>
      <w:sz w:val="24"/>
    </w:rPr>
  </w:style>
  <w:style w:styleId="Style_23_ch" w:type="character">
    <w:name w:val="Style6"/>
    <w:basedOn w:val="Style_6_ch"/>
    <w:link w:val="Style_23"/>
    <w:rPr>
      <w:sz w:val="24"/>
    </w:rPr>
  </w:style>
  <w:style w:styleId="Style_24" w:type="paragraph">
    <w:name w:val="consplusnormal"/>
    <w:basedOn w:val="Style_6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consplusnormal"/>
    <w:basedOn w:val="Style_6_ch"/>
    <w:link w:val="Style_24"/>
    <w:rPr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Endnote"/>
    <w:link w:val="Style_25"/>
    <w:rPr>
      <w:rFonts w:ascii="XO Thames" w:hAnsi="XO Thames"/>
    </w:rPr>
  </w:style>
  <w:style w:styleId="Style_26" w:type="paragraph">
    <w:name w:val="heading 3"/>
    <w:next w:val="Style_6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apple-converted-space"/>
    <w:basedOn w:val="Style_15"/>
    <w:link w:val="Style_27_ch"/>
  </w:style>
  <w:style w:styleId="Style_27_ch" w:type="character">
    <w:name w:val="apple-converted-space"/>
    <w:basedOn w:val="Style_15_ch"/>
    <w:link w:val="Style_27"/>
  </w:style>
  <w:style w:styleId="Style_28" w:type="paragraph">
    <w:name w:val="Обычный1"/>
    <w:link w:val="Style_28_ch"/>
    <w:rPr>
      <w:rFonts w:ascii="Times New Roman" w:hAnsi="Times New Roman"/>
      <w:sz w:val="28"/>
    </w:rPr>
  </w:style>
  <w:style w:styleId="Style_28_ch" w:type="character">
    <w:name w:val="Обычный1"/>
    <w:link w:val="Style_28"/>
    <w:rPr>
      <w:rFonts w:ascii="Times New Roman" w:hAnsi="Times New Roman"/>
      <w:sz w:val="28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Номер страницы1"/>
    <w:basedOn w:val="Style_15"/>
    <w:link w:val="Style_30_ch"/>
  </w:style>
  <w:style w:styleId="Style_30_ch" w:type="character">
    <w:name w:val="Номер страницы1"/>
    <w:basedOn w:val="Style_15_ch"/>
    <w:link w:val="Style_30"/>
  </w:style>
  <w:style w:styleId="Style_31" w:type="paragraph">
    <w:name w:val="Body Text 3"/>
    <w:basedOn w:val="Style_6"/>
    <w:link w:val="Style_31_ch"/>
    <w:pPr>
      <w:spacing w:after="120"/>
      <w:ind/>
    </w:pPr>
    <w:rPr>
      <w:rFonts w:ascii="Calibri" w:hAnsi="Calibri"/>
      <w:sz w:val="16"/>
    </w:rPr>
  </w:style>
  <w:style w:styleId="Style_31_ch" w:type="character">
    <w:name w:val="Body Text 3"/>
    <w:basedOn w:val="Style_6_ch"/>
    <w:link w:val="Style_31"/>
    <w:rPr>
      <w:rFonts w:ascii="Calibri" w:hAnsi="Calibri"/>
      <w:sz w:val="16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ConsCell"/>
    <w:link w:val="Style_33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3_ch" w:type="character">
    <w:name w:val="ConsCell"/>
    <w:link w:val="Style_33"/>
    <w:rPr>
      <w:rFonts w:ascii="Arial" w:hAnsi="Arial"/>
      <w:sz w:val="20"/>
    </w:rPr>
  </w:style>
  <w:style w:styleId="Style_34" w:type="paragraph">
    <w:name w:val="Обычный1"/>
    <w:link w:val="Style_34_ch"/>
    <w:rPr>
      <w:rFonts w:ascii="Times New Roman" w:hAnsi="Times New Roman"/>
      <w:sz w:val="28"/>
    </w:rPr>
  </w:style>
  <w:style w:styleId="Style_34_ch" w:type="character">
    <w:name w:val="Обычный1"/>
    <w:link w:val="Style_34"/>
    <w:rPr>
      <w:rFonts w:ascii="Times New Roman" w:hAnsi="Times New Roman"/>
      <w:sz w:val="28"/>
    </w:rPr>
  </w:style>
  <w:style w:styleId="Style_35" w:type="paragraph">
    <w:name w:val="ConsPlusNormal"/>
    <w:link w:val="Style_35_ch"/>
    <w:pPr>
      <w:spacing w:after="0" w:line="240" w:lineRule="auto"/>
      <w:ind/>
    </w:pPr>
    <w:rPr>
      <w:rFonts w:ascii="Times New Roman" w:hAnsi="Times New Roman"/>
      <w:sz w:val="28"/>
    </w:rPr>
  </w:style>
  <w:style w:styleId="Style_35_ch" w:type="character">
    <w:name w:val="ConsPlusNormal"/>
    <w:link w:val="Style_35"/>
    <w:rPr>
      <w:rFonts w:ascii="Times New Roman" w:hAnsi="Times New Roman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toc 3"/>
    <w:next w:val="Style_6"/>
    <w:link w:val="Style_37_ch"/>
    <w:uiPriority w:val="39"/>
    <w:pPr>
      <w:ind w:firstLine="0" w:left="400"/>
    </w:pPr>
    <w:rPr>
      <w:rFonts w:ascii="XO Thames" w:hAnsi="XO Thames"/>
      <w:sz w:val="28"/>
    </w:rPr>
  </w:style>
  <w:style w:styleId="Style_37_ch" w:type="character">
    <w:name w:val="toc 3"/>
    <w:link w:val="Style_37"/>
    <w:rPr>
      <w:rFonts w:ascii="XO Thames" w:hAnsi="XO Thames"/>
      <w:sz w:val="28"/>
    </w:rPr>
  </w:style>
  <w:style w:styleId="Style_38" w:type="paragraph">
    <w:name w:val="List Paragraph"/>
    <w:basedOn w:val="Style_6"/>
    <w:link w:val="Style_38_ch"/>
    <w:pPr>
      <w:ind w:firstLine="0" w:left="720"/>
      <w:contextualSpacing w:val="1"/>
    </w:pPr>
    <w:rPr>
      <w:sz w:val="20"/>
    </w:rPr>
  </w:style>
  <w:style w:styleId="Style_38_ch" w:type="character">
    <w:name w:val="List Paragraph"/>
    <w:basedOn w:val="Style_6_ch"/>
    <w:link w:val="Style_38"/>
    <w:rPr>
      <w:sz w:val="20"/>
    </w:rPr>
  </w:style>
  <w:style w:styleId="Style_39" w:type="paragraph">
    <w:name w:val="Прижатый влево"/>
    <w:basedOn w:val="Style_6"/>
    <w:next w:val="Style_6"/>
    <w:link w:val="Style_39_ch"/>
    <w:pPr>
      <w:widowControl w:val="0"/>
      <w:ind/>
    </w:pPr>
    <w:rPr>
      <w:rFonts w:ascii="Arial" w:hAnsi="Arial"/>
      <w:sz w:val="24"/>
    </w:rPr>
  </w:style>
  <w:style w:styleId="Style_39_ch" w:type="character">
    <w:name w:val="Прижатый влево"/>
    <w:basedOn w:val="Style_6_ch"/>
    <w:link w:val="Style_39"/>
    <w:rPr>
      <w:rFonts w:ascii="Arial" w:hAnsi="Arial"/>
      <w:sz w:val="24"/>
    </w:rPr>
  </w:style>
  <w:style w:styleId="Style_40" w:type="paragraph">
    <w:name w:val="Normal (Web)"/>
    <w:basedOn w:val="Style_6"/>
    <w:link w:val="Style_40_ch"/>
    <w:pPr>
      <w:spacing w:after="75"/>
      <w:ind/>
    </w:pPr>
    <w:rPr>
      <w:sz w:val="24"/>
    </w:rPr>
  </w:style>
  <w:style w:styleId="Style_40_ch" w:type="character">
    <w:name w:val="Normal (Web)"/>
    <w:basedOn w:val="Style_6_ch"/>
    <w:link w:val="Style_40"/>
    <w:rPr>
      <w:sz w:val="24"/>
    </w:rPr>
  </w:style>
  <w:style w:styleId="Style_41" w:type="paragraph">
    <w:name w:val="header"/>
    <w:basedOn w:val="Style_6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header"/>
    <w:basedOn w:val="Style_6_ch"/>
    <w:link w:val="Style_41"/>
  </w:style>
  <w:style w:styleId="Style_42" w:type="paragraph">
    <w:name w:val="Обычный1"/>
    <w:link w:val="Style_42_ch"/>
    <w:rPr>
      <w:rFonts w:ascii="Times New Roman" w:hAnsi="Times New Roman"/>
      <w:sz w:val="28"/>
    </w:rPr>
  </w:style>
  <w:style w:styleId="Style_42_ch" w:type="character">
    <w:name w:val="Обычный1"/>
    <w:link w:val="Style_42"/>
    <w:rPr>
      <w:rFonts w:ascii="Times New Roman" w:hAnsi="Times New Roman"/>
      <w:sz w:val="28"/>
    </w:rPr>
  </w:style>
  <w:style w:styleId="Style_43" w:type="paragraph">
    <w:name w:val="Обычный1"/>
    <w:link w:val="Style_43_ch"/>
    <w:rPr>
      <w:rFonts w:ascii="Times New Roman" w:hAnsi="Times New Roman"/>
      <w:sz w:val="28"/>
    </w:rPr>
  </w:style>
  <w:style w:styleId="Style_43_ch" w:type="character">
    <w:name w:val="Обычный1"/>
    <w:link w:val="Style_43"/>
    <w:rPr>
      <w:rFonts w:ascii="Times New Roman" w:hAnsi="Times New Roman"/>
      <w:sz w:val="28"/>
    </w:rPr>
  </w:style>
  <w:style w:styleId="Style_44" w:type="paragraph">
    <w:name w:val="heading 5"/>
    <w:next w:val="Style_6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ConsPlusTitle"/>
    <w:link w:val="Style_45_ch"/>
    <w:pPr>
      <w:widowControl w:val="0"/>
      <w:spacing w:after="0" w:line="240" w:lineRule="auto"/>
      <w:ind/>
    </w:pPr>
    <w:rPr>
      <w:rFonts w:ascii="Times New Roman" w:hAnsi="Times New Roman"/>
      <w:b w:val="1"/>
    </w:rPr>
  </w:style>
  <w:style w:styleId="Style_45_ch" w:type="character">
    <w:name w:val="ConsPlusTitle"/>
    <w:link w:val="Style_45"/>
    <w:rPr>
      <w:rFonts w:ascii="Times New Roman" w:hAnsi="Times New Roman"/>
      <w:b w:val="1"/>
    </w:rPr>
  </w:style>
  <w:style w:styleId="Style_46" w:type="paragraph">
    <w:name w:val="heading 1"/>
    <w:basedOn w:val="Style_6"/>
    <w:next w:val="Style_6"/>
    <w:link w:val="Style_46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46_ch" w:type="character">
    <w:name w:val="heading 1"/>
    <w:basedOn w:val="Style_6_ch"/>
    <w:link w:val="Style_46"/>
    <w:rPr>
      <w:rFonts w:ascii="Arial" w:hAnsi="Arial"/>
      <w:b w:val="1"/>
      <w:color w:val="26282F"/>
      <w:sz w:val="24"/>
    </w:rPr>
  </w:style>
  <w:style w:styleId="Style_4" w:type="paragraph">
    <w:name w:val="Standard"/>
    <w:link w:val="Style_4_ch"/>
    <w:rPr>
      <w:rFonts w:ascii="Calibri" w:hAnsi="Calibri"/>
    </w:rPr>
  </w:style>
  <w:style w:styleId="Style_4_ch" w:type="character">
    <w:name w:val="Standard"/>
    <w:link w:val="Style_4"/>
    <w:rPr>
      <w:rFonts w:ascii="Calibri" w:hAnsi="Calibri"/>
    </w:rPr>
  </w:style>
  <w:style w:styleId="Style_47" w:type="paragraph">
    <w:name w:val="Text body"/>
    <w:basedOn w:val="Style_6"/>
    <w:link w:val="Style_47_ch"/>
    <w:pPr>
      <w:widowControl w:val="0"/>
      <w:spacing w:after="120"/>
      <w:ind/>
    </w:pPr>
    <w:rPr>
      <w:sz w:val="24"/>
    </w:rPr>
  </w:style>
  <w:style w:styleId="Style_47_ch" w:type="character">
    <w:name w:val="Text body"/>
    <w:basedOn w:val="Style_6_ch"/>
    <w:link w:val="Style_47"/>
    <w:rPr>
      <w:sz w:val="24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basedOn w:val="Style_6"/>
    <w:link w:val="Style_49_ch"/>
    <w:rPr>
      <w:sz w:val="20"/>
    </w:rPr>
  </w:style>
  <w:style w:styleId="Style_49_ch" w:type="character">
    <w:name w:val="Footnote"/>
    <w:basedOn w:val="Style_6_ch"/>
    <w:link w:val="Style_49"/>
    <w:rPr>
      <w:sz w:val="20"/>
    </w:rPr>
  </w:style>
  <w:style w:styleId="Style_50" w:type="paragraph">
    <w:name w:val="toc 1"/>
    <w:next w:val="Style_6"/>
    <w:link w:val="Style_50_ch"/>
    <w:uiPriority w:val="39"/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Body Text"/>
    <w:basedOn w:val="Style_6"/>
    <w:link w:val="Style_51_ch"/>
    <w:pPr>
      <w:widowControl w:val="0"/>
      <w:spacing w:after="120"/>
      <w:ind/>
    </w:pPr>
    <w:rPr>
      <w:rFonts w:ascii="Arial" w:hAnsi="Arial"/>
      <w:sz w:val="24"/>
    </w:rPr>
  </w:style>
  <w:style w:styleId="Style_51_ch" w:type="character">
    <w:name w:val="Body Text"/>
    <w:basedOn w:val="Style_6_ch"/>
    <w:link w:val="Style_51"/>
    <w:rPr>
      <w:rFonts w:ascii="Arial" w:hAnsi="Arial"/>
      <w:sz w:val="24"/>
    </w:rPr>
  </w:style>
  <w:style w:styleId="Style_52" w:type="paragraph">
    <w:name w:val="ConsNonformat"/>
    <w:link w:val="Style_5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52_ch" w:type="character">
    <w:name w:val="ConsNonformat"/>
    <w:link w:val="Style_52"/>
    <w:rPr>
      <w:rFonts w:ascii="Courier New" w:hAnsi="Courier New"/>
      <w:sz w:val="20"/>
    </w:rPr>
  </w:style>
  <w:style w:styleId="Style_53" w:type="paragraph">
    <w:name w:val="Header and Footer"/>
    <w:link w:val="Style_53_ch"/>
    <w:pPr>
      <w:spacing w:line="240" w:lineRule="auto"/>
      <w:ind/>
      <w:jc w:val="both"/>
    </w:pPr>
    <w:rPr>
      <w:rFonts w:ascii="XO Thames" w:hAnsi="XO Thames"/>
      <w:sz w:val="28"/>
    </w:rPr>
  </w:style>
  <w:style w:styleId="Style_53_ch" w:type="character">
    <w:name w:val="Header and Footer"/>
    <w:link w:val="Style_53"/>
    <w:rPr>
      <w:rFonts w:ascii="XO Thames" w:hAnsi="XO Thames"/>
      <w:sz w:val="28"/>
    </w:rPr>
  </w:style>
  <w:style w:styleId="Style_54" w:type="paragraph">
    <w:name w:val="ConsNormal"/>
    <w:link w:val="Style_54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4_ch" w:type="character">
    <w:name w:val="ConsNormal"/>
    <w:link w:val="Style_54"/>
    <w:rPr>
      <w:rFonts w:ascii="Arial" w:hAnsi="Arial"/>
      <w:sz w:val="20"/>
    </w:rPr>
  </w:style>
  <w:style w:styleId="Style_55" w:type="paragraph">
    <w:name w:val="Char Char Знак Знак Знак"/>
    <w:basedOn w:val="Style_6"/>
    <w:link w:val="Style_55_ch"/>
    <w:pPr>
      <w:spacing w:after="160" w:line="240" w:lineRule="exact"/>
      <w:ind/>
    </w:pPr>
    <w:rPr>
      <w:rFonts w:ascii="Arial" w:hAnsi="Arial"/>
      <w:b w:val="1"/>
      <w:sz w:val="20"/>
    </w:rPr>
  </w:style>
  <w:style w:styleId="Style_55_ch" w:type="character">
    <w:name w:val="Char Char Знак Знак Знак"/>
    <w:basedOn w:val="Style_6_ch"/>
    <w:link w:val="Style_55"/>
    <w:rPr>
      <w:rFonts w:ascii="Arial" w:hAnsi="Arial"/>
      <w:b w:val="1"/>
      <w:sz w:val="20"/>
    </w:rPr>
  </w:style>
  <w:style w:styleId="Style_56" w:type="paragraph">
    <w:name w:val="toc 9"/>
    <w:next w:val="Style_6"/>
    <w:link w:val="Style_56_ch"/>
    <w:uiPriority w:val="39"/>
    <w:pPr>
      <w:ind w:firstLine="0" w:left="1600"/>
    </w:pPr>
    <w:rPr>
      <w:rFonts w:ascii="XO Thames" w:hAnsi="XO Thames"/>
      <w:sz w:val="28"/>
    </w:rPr>
  </w:style>
  <w:style w:styleId="Style_56_ch" w:type="character">
    <w:name w:val="toc 9"/>
    <w:link w:val="Style_56"/>
    <w:rPr>
      <w:rFonts w:ascii="XO Thames" w:hAnsi="XO Thames"/>
      <w:sz w:val="28"/>
    </w:rPr>
  </w:style>
  <w:style w:styleId="Style_57" w:type="paragraph">
    <w:name w:val="Balloon Text"/>
    <w:basedOn w:val="Style_6"/>
    <w:link w:val="Style_57_ch"/>
    <w:rPr>
      <w:rFonts w:ascii="Tahoma" w:hAnsi="Tahoma"/>
      <w:sz w:val="16"/>
    </w:rPr>
  </w:style>
  <w:style w:styleId="Style_57_ch" w:type="character">
    <w:name w:val="Balloon Text"/>
    <w:basedOn w:val="Style_6_ch"/>
    <w:link w:val="Style_57"/>
    <w:rPr>
      <w:rFonts w:ascii="Tahoma" w:hAnsi="Tahoma"/>
      <w:sz w:val="16"/>
    </w:rPr>
  </w:style>
  <w:style w:styleId="Style_58" w:type="paragraph">
    <w:name w:val="Гипертекстовая ссылка"/>
    <w:basedOn w:val="Style_15"/>
    <w:link w:val="Style_58_ch"/>
    <w:rPr>
      <w:color w:val="106BBE"/>
    </w:rPr>
  </w:style>
  <w:style w:styleId="Style_58_ch" w:type="character">
    <w:name w:val="Гипертекстовая ссылка"/>
    <w:basedOn w:val="Style_15_ch"/>
    <w:link w:val="Style_58"/>
    <w:rPr>
      <w:color w:val="106BBE"/>
    </w:rPr>
  </w:style>
  <w:style w:styleId="Style_59" w:type="paragraph">
    <w:name w:val="Цветовое выделение"/>
    <w:link w:val="Style_59_ch"/>
    <w:rPr>
      <w:b w:val="1"/>
      <w:color w:val="26282F"/>
    </w:rPr>
  </w:style>
  <w:style w:styleId="Style_59_ch" w:type="character">
    <w:name w:val="Цветовое выделение"/>
    <w:link w:val="Style_59"/>
    <w:rPr>
      <w:b w:val="1"/>
      <w:color w:val="26282F"/>
    </w:rPr>
  </w:style>
  <w:style w:styleId="Style_60" w:type="paragraph">
    <w:name w:val="toc 8"/>
    <w:next w:val="Style_6"/>
    <w:link w:val="Style_60_ch"/>
    <w:uiPriority w:val="39"/>
    <w:pPr>
      <w:ind w:firstLine="0" w:left="1400"/>
    </w:pPr>
    <w:rPr>
      <w:rFonts w:ascii="XO Thames" w:hAnsi="XO Thames"/>
      <w:sz w:val="28"/>
    </w:rPr>
  </w:style>
  <w:style w:styleId="Style_60_ch" w:type="character">
    <w:name w:val="toc 8"/>
    <w:link w:val="Style_60"/>
    <w:rPr>
      <w:rFonts w:ascii="XO Thames" w:hAnsi="XO Thames"/>
      <w:sz w:val="28"/>
    </w:rPr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61" w:type="paragraph">
    <w:name w:val="Style5"/>
    <w:basedOn w:val="Style_6"/>
    <w:link w:val="Style_61_ch"/>
    <w:pPr>
      <w:widowControl w:val="0"/>
      <w:spacing w:line="276" w:lineRule="exact"/>
      <w:ind w:firstLine="720" w:left="0"/>
      <w:jc w:val="both"/>
    </w:pPr>
    <w:rPr>
      <w:sz w:val="24"/>
    </w:rPr>
  </w:style>
  <w:style w:styleId="Style_61_ch" w:type="character">
    <w:name w:val="Style5"/>
    <w:basedOn w:val="Style_6_ch"/>
    <w:link w:val="Style_61"/>
    <w:rPr>
      <w:sz w:val="24"/>
    </w:rPr>
  </w:style>
  <w:style w:styleId="Style_62" w:type="paragraph">
    <w:name w:val="Нормальный (таблица)"/>
    <w:basedOn w:val="Style_6"/>
    <w:next w:val="Style_6"/>
    <w:link w:val="Style_62_ch"/>
    <w:pPr>
      <w:ind/>
      <w:jc w:val="both"/>
    </w:pPr>
    <w:rPr>
      <w:rFonts w:ascii="Arial" w:hAnsi="Arial"/>
      <w:sz w:val="24"/>
    </w:rPr>
  </w:style>
  <w:style w:styleId="Style_62_ch" w:type="character">
    <w:name w:val="Нормальный (таблица)"/>
    <w:basedOn w:val="Style_6_ch"/>
    <w:link w:val="Style_62"/>
    <w:rPr>
      <w:rFonts w:ascii="Arial" w:hAnsi="Arial"/>
      <w:sz w:val="24"/>
    </w:rPr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toc 5"/>
    <w:next w:val="Style_6"/>
    <w:link w:val="Style_64_ch"/>
    <w:uiPriority w:val="39"/>
    <w:pPr>
      <w:ind w:firstLine="0" w:left="800"/>
    </w:pPr>
    <w:rPr>
      <w:rFonts w:ascii="XO Thames" w:hAnsi="XO Thames"/>
      <w:sz w:val="28"/>
    </w:rPr>
  </w:style>
  <w:style w:styleId="Style_64_ch" w:type="character">
    <w:name w:val="toc 5"/>
    <w:link w:val="Style_64"/>
    <w:rPr>
      <w:rFonts w:ascii="XO Thames" w:hAnsi="XO Thames"/>
      <w:sz w:val="28"/>
    </w:rPr>
  </w:style>
  <w:style w:styleId="Style_65" w:type="paragraph">
    <w:name w:val="Subtitle"/>
    <w:next w:val="Style_6"/>
    <w:link w:val="Style_6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5_ch" w:type="character">
    <w:name w:val="Subtitle"/>
    <w:link w:val="Style_65"/>
    <w:rPr>
      <w:rFonts w:ascii="XO Thames" w:hAnsi="XO Thames"/>
      <w:i w:val="1"/>
      <w:sz w:val="24"/>
    </w:rPr>
  </w:style>
  <w:style w:styleId="Style_66" w:type="paragraph">
    <w:name w:val="Oaeno"/>
    <w:basedOn w:val="Style_6"/>
    <w:link w:val="Style_66_ch"/>
    <w:pPr>
      <w:widowControl w:val="0"/>
      <w:ind/>
    </w:pPr>
    <w:rPr>
      <w:rFonts w:ascii="Courier New" w:hAnsi="Courier New"/>
      <w:sz w:val="20"/>
    </w:rPr>
  </w:style>
  <w:style w:styleId="Style_66_ch" w:type="character">
    <w:name w:val="Oaeno"/>
    <w:basedOn w:val="Style_6_ch"/>
    <w:link w:val="Style_66"/>
    <w:rPr>
      <w:rFonts w:ascii="Courier New" w:hAnsi="Courier New"/>
      <w:sz w:val="20"/>
    </w:rPr>
  </w:style>
  <w:style w:styleId="Style_5" w:type="paragraph">
    <w:name w:val="Title"/>
    <w:basedOn w:val="Style_6"/>
    <w:link w:val="Style_5_ch"/>
    <w:uiPriority w:val="10"/>
    <w:qFormat/>
    <w:pPr>
      <w:ind/>
      <w:jc w:val="center"/>
    </w:pPr>
    <w:rPr>
      <w:sz w:val="24"/>
    </w:rPr>
  </w:style>
  <w:style w:styleId="Style_5_ch" w:type="character">
    <w:name w:val="Title"/>
    <w:basedOn w:val="Style_6_ch"/>
    <w:link w:val="Style_5"/>
    <w:rPr>
      <w:sz w:val="24"/>
    </w:rPr>
  </w:style>
  <w:style w:styleId="Style_67" w:type="paragraph">
    <w:name w:val="Обычный1"/>
    <w:link w:val="Style_67_ch"/>
    <w:rPr>
      <w:rFonts w:ascii="Times New Roman" w:hAnsi="Times New Roman"/>
      <w:sz w:val="28"/>
    </w:rPr>
  </w:style>
  <w:style w:styleId="Style_67_ch" w:type="character">
    <w:name w:val="Обычный1"/>
    <w:link w:val="Style_67"/>
    <w:rPr>
      <w:rFonts w:ascii="Times New Roman" w:hAnsi="Times New Roman"/>
      <w:sz w:val="28"/>
    </w:rPr>
  </w:style>
  <w:style w:styleId="Style_68" w:type="paragraph">
    <w:name w:val="heading 4"/>
    <w:next w:val="Style_6"/>
    <w:link w:val="Style_6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8_ch" w:type="character">
    <w:name w:val="heading 4"/>
    <w:link w:val="Style_68"/>
    <w:rPr>
      <w:rFonts w:ascii="XO Thames" w:hAnsi="XO Thames"/>
      <w:b w:val="1"/>
      <w:sz w:val="24"/>
    </w:rPr>
  </w:style>
  <w:style w:styleId="Style_15" w:type="paragraph">
    <w:name w:val="Основной шрифт абзаца2"/>
    <w:link w:val="Style_15_ch"/>
  </w:style>
  <w:style w:styleId="Style_15_ch" w:type="character">
    <w:name w:val="Основной шрифт абзаца2"/>
    <w:link w:val="Style_15"/>
  </w:style>
  <w:style w:styleId="Style_69" w:type="paragraph">
    <w:name w:val="Основной шрифт абзаца1"/>
    <w:link w:val="Style_69_ch"/>
  </w:style>
  <w:style w:styleId="Style_69_ch" w:type="character">
    <w:name w:val="Основной шрифт абзаца1"/>
    <w:link w:val="Style_69"/>
  </w:style>
  <w:style w:styleId="Style_2" w:type="paragraph">
    <w:name w:val="heading 2"/>
    <w:next w:val="Style_6"/>
    <w:link w:val="Style_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_ch" w:type="character">
    <w:name w:val="heading 2"/>
    <w:link w:val="Style_2"/>
    <w:rPr>
      <w:rFonts w:ascii="XO Thames" w:hAnsi="XO Thames"/>
      <w:b w:val="1"/>
      <w:sz w:val="28"/>
    </w:rPr>
  </w:style>
  <w:style w:styleId="Style_70" w:type="paragraph">
    <w:name w:val="Строгий1"/>
    <w:basedOn w:val="Style_15"/>
    <w:link w:val="Style_70_ch"/>
    <w:rPr>
      <w:b w:val="1"/>
    </w:rPr>
  </w:style>
  <w:style w:styleId="Style_70_ch" w:type="character">
    <w:name w:val="Строгий1"/>
    <w:basedOn w:val="Style_15_ch"/>
    <w:link w:val="Style_70"/>
    <w:rPr>
      <w:b w:val="1"/>
    </w:rPr>
  </w:style>
  <w:style w:styleId="Style_71" w:type="paragraph">
    <w:name w:val="Гиперссылка1"/>
    <w:basedOn w:val="Style_15"/>
    <w:link w:val="Style_71_ch"/>
    <w:rPr>
      <w:color w:themeColor="hyperlink" w:val="0000FF"/>
      <w:u w:val="single"/>
    </w:rPr>
  </w:style>
  <w:style w:styleId="Style_71_ch" w:type="character">
    <w:name w:val="Гиперссылка1"/>
    <w:basedOn w:val="Style_15_ch"/>
    <w:link w:val="Style_71"/>
    <w:rPr>
      <w:color w:themeColor="hyperlink" w:val="0000FF"/>
      <w:u w:val="singl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Table Grid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2025-03-17T08:09:35Z</dcterms:modified>
</cp:coreProperties>
</file>