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АДМИНИСТРАЦИЯ КИРИЛЛОВСКОГО МУНИЦИПАЛЬНОГО РАЙОНА</w:t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Вологодской области</w:t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 С П О Р Я Ж Е Н И Е</w:t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2"/>
          <w:szCs w:val="32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86"/>
        <w:gridCol w:w="2330"/>
        <w:gridCol w:w="600"/>
        <w:gridCol w:w="1158"/>
      </w:tblGrid>
      <w:tr>
        <w:trPr>
          <w:trHeight w:val="443"/>
        </w:trPr>
        <w:tc>
          <w:tcPr>
            <w:tcW w:w="586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28.12.2022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150-р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754"/>
        </w:trPr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13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действии распоряжения администрации района от 30.12.2021 № 208-р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Во исполнение постановления администрации района от 13.05.2020 № 296 «О системе внутреннего обеспечения соответствия требованиям антимонопольного законодательства в администрации района»</w:t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Установить, что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ключевые показатели эффективности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антимонопольног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комплаенса и методика их расчета за  2023 год определяются в соответствии с распоряжением администрации района от 30.12.2021 № 208-р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ключевых показателях эффективности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антимонопольного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комплаенса».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2. Настоящее распоряжение подлежит размещению на официальном сайте Кирилловского муниципального района в информационно-телекоммуникационной сети «Интернет».</w:t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Руководитель администрации района                                             А.Л.Кузнецов</w:t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13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Title"/>
    <w:rPr>
      <w:rFonts w:ascii="Arial" w:hAnsi="Arial" w:cs="Times New Roman" w:eastAsia="Calibri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2023-08-11T12:37:47Z</dcterms:modified>
</cp:coreProperties>
</file>