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E3" w:rsidRDefault="00FE7BE3">
      <w:pPr>
        <w:jc w:val="right"/>
        <w:rPr>
          <w:sz w:val="28"/>
          <w:szCs w:val="28"/>
        </w:rPr>
      </w:pPr>
    </w:p>
    <w:p w:rsidR="00FE7BE3" w:rsidRDefault="00BE773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КИРИЛЛОВСКОГО МУНИЦИПАЛЬНОГО РАЙОНА</w:t>
      </w:r>
    </w:p>
    <w:p w:rsidR="00FE7BE3" w:rsidRDefault="00BE773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E7BE3" w:rsidRDefault="00FE7BE3">
      <w:pPr>
        <w:jc w:val="center"/>
        <w:rPr>
          <w:sz w:val="28"/>
          <w:szCs w:val="28"/>
        </w:rPr>
      </w:pPr>
    </w:p>
    <w:p w:rsidR="00FE7BE3" w:rsidRDefault="00BE77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E7BE3" w:rsidRDefault="00FE7BE3">
      <w:pPr>
        <w:jc w:val="center"/>
        <w:rPr>
          <w:sz w:val="28"/>
          <w:szCs w:val="28"/>
        </w:rPr>
      </w:pPr>
    </w:p>
    <w:p w:rsidR="00FE7BE3" w:rsidRDefault="00FE7BE3">
      <w:pPr>
        <w:jc w:val="center"/>
        <w:rPr>
          <w:sz w:val="32"/>
          <w:szCs w:val="32"/>
        </w:rPr>
      </w:pPr>
    </w:p>
    <w:p w:rsidR="00FE7BE3" w:rsidRDefault="00FE7BE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86"/>
        <w:gridCol w:w="2330"/>
        <w:gridCol w:w="600"/>
        <w:gridCol w:w="1158"/>
      </w:tblGrid>
      <w:tr w:rsidR="00FE7BE3">
        <w:trPr>
          <w:trHeight w:val="443"/>
        </w:trPr>
        <w:tc>
          <w:tcPr>
            <w:tcW w:w="586" w:type="dxa"/>
          </w:tcPr>
          <w:p w:rsidR="00FE7BE3" w:rsidRDefault="00BE773C">
            <w:r>
              <w:rPr>
                <w:sz w:val="28"/>
                <w:szCs w:val="28"/>
              </w:rPr>
              <w:t>от</w:t>
            </w:r>
          </w:p>
        </w:tc>
        <w:tc>
          <w:tcPr>
            <w:tcW w:w="23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E7BE3" w:rsidRPr="004E670A" w:rsidRDefault="00BE773C">
            <w:pPr>
              <w:jc w:val="center"/>
              <w:rPr>
                <w:sz w:val="28"/>
                <w:szCs w:val="28"/>
              </w:rPr>
            </w:pPr>
            <w:r w:rsidRPr="004E670A">
              <w:rPr>
                <w:sz w:val="28"/>
                <w:szCs w:val="28"/>
              </w:rPr>
              <w:t>30.12.202</w:t>
            </w:r>
            <w:r w:rsidR="004E670A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</w:tcPr>
          <w:p w:rsidR="00FE7BE3" w:rsidRDefault="00BE773C">
            <w:r>
              <w:rPr>
                <w:sz w:val="28"/>
                <w:szCs w:val="28"/>
              </w:rPr>
              <w:t>№</w:t>
            </w:r>
          </w:p>
        </w:tc>
        <w:tc>
          <w:tcPr>
            <w:tcW w:w="115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E7BE3" w:rsidRPr="004E670A" w:rsidRDefault="00BE773C">
            <w:pPr>
              <w:jc w:val="center"/>
              <w:rPr>
                <w:sz w:val="28"/>
                <w:szCs w:val="28"/>
              </w:rPr>
            </w:pPr>
            <w:r w:rsidRPr="004E670A">
              <w:rPr>
                <w:sz w:val="28"/>
                <w:szCs w:val="28"/>
              </w:rPr>
              <w:t>20</w:t>
            </w:r>
            <w:r w:rsidR="004E670A">
              <w:rPr>
                <w:sz w:val="28"/>
                <w:szCs w:val="28"/>
              </w:rPr>
              <w:t>8-р</w:t>
            </w:r>
          </w:p>
        </w:tc>
      </w:tr>
      <w:tr w:rsidR="00FE7BE3">
        <w:trPr>
          <w:trHeight w:val="1754"/>
        </w:trPr>
        <w:tc>
          <w:tcPr>
            <w:tcW w:w="467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E7BE3" w:rsidRDefault="00FE7BE3">
            <w:pPr>
              <w:pStyle w:val="ConsPlusTitle"/>
              <w:widowControl/>
              <w:ind w:right="-1"/>
              <w:jc w:val="both"/>
              <w:rPr>
                <w:rFonts w:ascii="Times New Roman" w:hAnsi="Times New Roman"/>
              </w:rPr>
            </w:pPr>
          </w:p>
          <w:p w:rsidR="00FE7BE3" w:rsidRDefault="00BE7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ключевых показателях эффективности </w:t>
            </w:r>
            <w:proofErr w:type="gramStart"/>
            <w:r>
              <w:rPr>
                <w:sz w:val="28"/>
                <w:szCs w:val="28"/>
              </w:rPr>
              <w:t>антимонопольного</w:t>
            </w:r>
            <w:proofErr w:type="gramEnd"/>
            <w:r>
              <w:rPr>
                <w:sz w:val="28"/>
                <w:szCs w:val="28"/>
              </w:rPr>
              <w:t xml:space="preserve"> комплаенса </w:t>
            </w:r>
          </w:p>
        </w:tc>
      </w:tr>
    </w:tbl>
    <w:p w:rsidR="00FE7BE3" w:rsidRDefault="00FE7BE3">
      <w:pPr>
        <w:jc w:val="both"/>
        <w:rPr>
          <w:sz w:val="28"/>
          <w:szCs w:val="28"/>
        </w:rPr>
      </w:pPr>
    </w:p>
    <w:p w:rsidR="00FE7BE3" w:rsidRDefault="00BE7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администрации района от 13.05.2020 № 296 «О системе внутреннего обеспечения соответствия требованиям антимонопольного законодательства в администрации района»</w:t>
      </w:r>
    </w:p>
    <w:p w:rsidR="00FE7BE3" w:rsidRDefault="00FE7BE3">
      <w:pPr>
        <w:jc w:val="both"/>
        <w:rPr>
          <w:sz w:val="28"/>
          <w:szCs w:val="28"/>
        </w:rPr>
      </w:pPr>
    </w:p>
    <w:p w:rsidR="00FE7BE3" w:rsidRDefault="00BE7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Утвердить:</w:t>
      </w:r>
    </w:p>
    <w:p w:rsidR="00FE7BE3" w:rsidRDefault="00BE7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ключевые показатели эффективности </w:t>
      </w:r>
      <w:proofErr w:type="gramStart"/>
      <w:r>
        <w:rPr>
          <w:sz w:val="28"/>
          <w:szCs w:val="28"/>
        </w:rPr>
        <w:t>антимонопольног</w:t>
      </w:r>
      <w:r w:rsidR="000B4205">
        <w:rPr>
          <w:sz w:val="28"/>
          <w:szCs w:val="28"/>
        </w:rPr>
        <w:t>о</w:t>
      </w:r>
      <w:proofErr w:type="gramEnd"/>
      <w:r w:rsidR="000B4205">
        <w:rPr>
          <w:sz w:val="28"/>
          <w:szCs w:val="28"/>
        </w:rPr>
        <w:t xml:space="preserve"> комплаенса,</w:t>
      </w:r>
      <w:r>
        <w:rPr>
          <w:sz w:val="28"/>
          <w:szCs w:val="28"/>
        </w:rPr>
        <w:t xml:space="preserve"> согласно приложению 1 к настоящему постановлению;</w:t>
      </w:r>
    </w:p>
    <w:p w:rsidR="00FE7BE3" w:rsidRDefault="00BE7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методику расчета ключевых показателей эффективности антимонопольного комплаенса, согласно приложению 2 к настоящему распоряжению.</w:t>
      </w:r>
    </w:p>
    <w:p w:rsidR="00FE7BE3" w:rsidRDefault="00BE77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распоряжение подлежит размещению на официальном сайте Кирилловского муниципального района в информационно-телекоммуникационной сети «Интернет».</w:t>
      </w:r>
    </w:p>
    <w:p w:rsidR="00FE7BE3" w:rsidRDefault="00FE7BE3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А.Л.Кузнецов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ind w:left="49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E7BE3" w:rsidRDefault="00BE773C">
      <w:pPr>
        <w:spacing w:after="1" w:line="280" w:lineRule="atLeast"/>
        <w:ind w:left="4961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FE7BE3" w:rsidRDefault="00BE773C">
      <w:pPr>
        <w:spacing w:after="1" w:line="280" w:lineRule="atLeast"/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</w:t>
      </w: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эффективности </w:t>
      </w: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антимонопольного комплаенса </w:t>
      </w: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1"/>
        <w:gridCol w:w="6107"/>
        <w:gridCol w:w="1984"/>
      </w:tblGrid>
      <w:tr w:rsidR="00FE7BE3">
        <w:tc>
          <w:tcPr>
            <w:tcW w:w="1371" w:type="dxa"/>
          </w:tcPr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07" w:type="dxa"/>
          </w:tcPr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</w:tcPr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FE7BE3">
        <w:tc>
          <w:tcPr>
            <w:tcW w:w="1371" w:type="dxa"/>
          </w:tcPr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07" w:type="dxa"/>
          </w:tcPr>
          <w:p w:rsidR="00FE7BE3" w:rsidRDefault="00BE773C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</w:t>
            </w:r>
            <w:proofErr w:type="gramStart"/>
            <w:r>
              <w:rPr>
                <w:sz w:val="28"/>
                <w:szCs w:val="28"/>
              </w:rPr>
              <w:t>снижения количества нарушений антимонопольного законодательства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со стороны администрации района по сравнению с предыдущим годом</w:t>
            </w:r>
          </w:p>
        </w:tc>
        <w:tc>
          <w:tcPr>
            <w:tcW w:w="1984" w:type="dxa"/>
          </w:tcPr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E7BE3">
        <w:tc>
          <w:tcPr>
            <w:tcW w:w="1371" w:type="dxa"/>
          </w:tcPr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07" w:type="dxa"/>
          </w:tcPr>
          <w:p w:rsidR="00FE7BE3" w:rsidRDefault="00BE773C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проектов муниципальных правовых актов администрации района, в которых выявлены риски нарушения антимонопольного законодательства Российской Федерации</w:t>
            </w:r>
          </w:p>
        </w:tc>
        <w:tc>
          <w:tcPr>
            <w:tcW w:w="1984" w:type="dxa"/>
          </w:tcPr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7BE3">
        <w:tc>
          <w:tcPr>
            <w:tcW w:w="1371" w:type="dxa"/>
          </w:tcPr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07" w:type="dxa"/>
          </w:tcPr>
          <w:p w:rsidR="00FE7BE3" w:rsidRDefault="00BE773C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правовых актов администрации района, в которых выявлены риски нарушения антимонопольного законодательства Российской Федерации</w:t>
            </w:r>
          </w:p>
        </w:tc>
        <w:tc>
          <w:tcPr>
            <w:tcW w:w="1984" w:type="dxa"/>
          </w:tcPr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E7BE3">
        <w:tc>
          <w:tcPr>
            <w:tcW w:w="1371" w:type="dxa"/>
          </w:tcPr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07" w:type="dxa"/>
          </w:tcPr>
          <w:p w:rsidR="00FE7BE3" w:rsidRDefault="00BE773C">
            <w:pPr>
              <w:spacing w:after="1"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контрактов (договоров, соглашений), в т.ч. соглашений о внесении изменений в контракты (договоры, соглашения), заключаемых администрацией района с хозяйствующими субъектами, в которых выявлены риски нарушения антимонопольного законодательства Российской Федерации</w:t>
            </w:r>
          </w:p>
        </w:tc>
        <w:tc>
          <w:tcPr>
            <w:tcW w:w="1984" w:type="dxa"/>
          </w:tcPr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FE7BE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FE7BE3" w:rsidRDefault="00BE773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BE773C">
      <w:pPr>
        <w:spacing w:after="1" w:line="280" w:lineRule="atLeast"/>
        <w:ind w:left="49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E7BE3" w:rsidRDefault="00BE773C">
      <w:pPr>
        <w:spacing w:after="1" w:line="280" w:lineRule="atLeast"/>
        <w:ind w:left="4961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FE7BE3" w:rsidRDefault="00BE773C">
      <w:pPr>
        <w:spacing w:after="1" w:line="280" w:lineRule="atLeast"/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</w:t>
      </w: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right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расчета ключевых показателей эффективности </w:t>
      </w: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антимонопольного комплаенса</w:t>
      </w: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Коэффициент </w:t>
      </w:r>
      <w:proofErr w:type="gramStart"/>
      <w:r>
        <w:rPr>
          <w:sz w:val="28"/>
          <w:szCs w:val="28"/>
        </w:rPr>
        <w:t>снижения количества нарушений антимонопольного законодательства Российской Федерации</w:t>
      </w:r>
      <w:proofErr w:type="gramEnd"/>
      <w:r>
        <w:rPr>
          <w:sz w:val="28"/>
          <w:szCs w:val="28"/>
        </w:rPr>
        <w:t xml:space="preserve"> со стороны администрации района по сравнению с предыдущим годом рассчитывается по формуле: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КСН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КН/Кноп, где:</w:t>
      </w: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КСН – коэффициент снижения количества нарушений антимонопольного законодательства со стороны администрации района по сравнению с предыдущим годом;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количество нарушений антимонопольного законодательства со стороны администрации района в году, предшествующему отчетному;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Кноп – количество нарушений антимонопольного законодательства со стороны администрации района в отчетном году.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расчете данного коэффициента под нарушением антимонопольного законодательства Российской Федерации со стороны администрации района понимаются: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возбужденные антимонопольным органом в отношении администрации района дела о нарушении антимонопольного законодательства;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выданные антимонопольным органом администрации района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 принятии мер по устранению последствий такого нарушения;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направленные антимонопольным органом администрации района предостережения о недопустимости совершения действий, которые могут привести к нарушению антимонопольного законодательства Российской Федерации.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Ежегодная оценка значения ключевого показателя проводится в целях определения эффективности функционирования антимонопольного комплаенса в администрации района и соответствия мероприятий антимонопольного комплаенса администрации района направлениям совершенствования государственной политики по развитию конкуренции, установленным </w:t>
      </w:r>
      <w:r>
        <w:rPr>
          <w:color w:val="000000"/>
          <w:sz w:val="28"/>
        </w:rPr>
        <w:t>Н</w:t>
      </w:r>
      <w:r>
        <w:rPr>
          <w:color w:val="000000"/>
          <w:sz w:val="28"/>
          <w:highlight w:val="white"/>
        </w:rPr>
        <w:t xml:space="preserve">ациональным планом ("дорожная карта") развития </w:t>
      </w:r>
      <w:r>
        <w:rPr>
          <w:color w:val="000000"/>
          <w:sz w:val="28"/>
          <w:highlight w:val="white"/>
        </w:rPr>
        <w:lastRenderedPageBreak/>
        <w:t>конкуренции в Российской Федерации на 2021 - 2025 годы</w:t>
      </w:r>
      <w:r>
        <w:rPr>
          <w:sz w:val="28"/>
          <w:szCs w:val="28"/>
        </w:rPr>
        <w:t>, утвержденным  распоряжением Правительства Российской Федерации от 02.09.2021 № 2424-р.</w:t>
      </w:r>
      <w:proofErr w:type="gramEnd"/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Доля проектов муниципальных правовых актов администрации района, в которых выявлены риски нарушения антимонопольного законодательства Российской Федерации в отчетном периоде, рассчитывается по формуле: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Дппа=Кппа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/Кппа2, где:</w:t>
      </w: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Дппа</w:t>
      </w:r>
      <w:proofErr w:type="spellEnd"/>
      <w:r>
        <w:rPr>
          <w:sz w:val="28"/>
          <w:szCs w:val="28"/>
        </w:rPr>
        <w:t xml:space="preserve"> – доля проектов муниципальных правовых актов администрации района, в которых выявлены риски нарушения антимонопольного законодательства Российской Федерации;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Кппа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количество проектов муниципальных правовых актов администрации района, в которых администрацией района выявлены риски нарушения антимонопольного законодательства Российской Федерации в отчетном году;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Кппа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количество проектов муниципальных правовых актов администрации района, в которых антимонопольным органом выявлены нарушения антимонопольного законодательства Российской Федерации в отчетном году.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эффективном проведении мероприятий по анализу проектов муниципальных правовых актов администрации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на предмет выявления заложенных в  них рисков нарушения антимонопольного законодательства Российской Федерации (то есть при высоком значении числителя) должно наблюдаться уменьшение проектов муниципальных правовых актов, в отношении которых антимонопольным органом выявлены нарушения антимонопольного законодательства Российской Федерации.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Таким образом, значение данного ключевого показателя будет тем выше, чем эффективнее данные мероприятия антимонопольного комплаенса будут осуществляться в администрации района, и, наоборот, при невысоком значении доли проектов муниципальных правовых актов (числитель) наряду с высоким количеством выявленных антимонопольным органом нарушений антимонопольного законодательства Российской Федерации в таких проектах (знаменатель), низкие значения будут свидетельствовать о низкой эффективности данных мероприятий.</w:t>
      </w:r>
      <w:proofErr w:type="gramEnd"/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3.Доля муниципальных правовых актов администрации района, в которых выявлены риски нарушения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законодательства Российской Федерации, рассчитывается по формуле: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Дпа=Кпа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/Кпа2, где:</w:t>
      </w: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Дпа</w:t>
      </w:r>
      <w:proofErr w:type="spellEnd"/>
      <w:r>
        <w:rPr>
          <w:sz w:val="28"/>
          <w:szCs w:val="28"/>
        </w:rPr>
        <w:t xml:space="preserve"> – доля муниципальных правовых актов администрации района, в которых выявлены риски нарушения антимонопольного законодательства Российской Федерации в отчетном году;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Кпа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количество муниципальных правовых актов администрации района, в которых администрацией района выявлены риски нарушения антимонопольного законодательства Российской Федерации в отчетном году;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Кпа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количество муниципальных правовых актов администрации района, в которых антимонопольным органом выявлены нарушения антимонопольного законодательства Российской Федерации в отчетном году.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эффективном проведении мероприятий по анализу муниципальных правовых актов администрации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на предмет выявления заложенных в них рисков нарушения антимонопольного законодательства Российской Федерации (то есть при высоком значении числителя) должно наблюдаться уменьшение муниципальных правовых актов, в отношении которых антимонопольным органом выявлены нарушения антимонопольного законодательства Российской Федерации.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Таким образом, значение данного ключевого показателя будет тем выше, чем эффективнее данные мероприятия антимонопольного комплаенса будут осуществляться в администрации района, и, наоборот, при невысоком значении доли муниципальных правовых актов (числитель) наряду с высоким количеством выявленных антимонопольным органом нарушений антимонопольного законодательства Российской Федерации в таких актах (знаменатель), низкие значения будут свидетельствовать о низкой эффективности данных мероприятий.</w:t>
      </w:r>
      <w:proofErr w:type="gramEnd"/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Доля контрактов (договоров, соглашений), в том числе соглашений о внесении изменений в контракты (договоры, соглашения), заключаемых администрацией района с хозяйствующими субъектами, в которых выявлены риски нарушения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законодательства Российской Федерации, рассчитывается по формуле: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BE773C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Д=К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/К2, где: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 – доля контрактов (договоров, соглашений), в том числе соглашений о внесении изменений в контракты (договоры, соглашения), заключаемых администрацией района с хозяйствующими субъектами, в которых выявлены риски нарушения антимонопольного законодательства Российской Федерации в отчетном году;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количество контрактов (договоров, соглашений), в том числе соглашений о внесении изменений в контракты (договоры, соглашения), заключаемых администрацией района с хозяйствующими субъектами, в которых администрацией района выявлены риски нарушения антимонопольного законодательства Российской Федерации в отчетном году;</w:t>
      </w:r>
    </w:p>
    <w:p w:rsidR="00FE7BE3" w:rsidRDefault="00BE773C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количество контрактов (договоров, соглашений), в том числе соглашений о внесении изменений в контракты (договоры, соглашения), заключаемых администрацией района с хозяйствующими субъектами, в которых антимонопольным органом выявлены нарушения антимонопольного законодательства Российской Федерации в отчетном году</w:t>
      </w:r>
    </w:p>
    <w:p w:rsidR="00FE7BE3" w:rsidRDefault="00FE7BE3">
      <w:pPr>
        <w:spacing w:after="1" w:line="280" w:lineRule="atLeast"/>
        <w:jc w:val="both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p w:rsidR="00FE7BE3" w:rsidRDefault="00FE7BE3">
      <w:pPr>
        <w:spacing w:after="1" w:line="280" w:lineRule="atLeast"/>
        <w:jc w:val="center"/>
        <w:rPr>
          <w:sz w:val="28"/>
          <w:szCs w:val="28"/>
        </w:rPr>
      </w:pPr>
    </w:p>
    <w:sectPr w:rsidR="00FE7BE3" w:rsidSect="00FE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6F" w:rsidRDefault="0033266F">
      <w:r>
        <w:separator/>
      </w:r>
    </w:p>
  </w:endnote>
  <w:endnote w:type="continuationSeparator" w:id="0">
    <w:p w:rsidR="0033266F" w:rsidRDefault="0033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6F" w:rsidRDefault="0033266F">
      <w:r>
        <w:separator/>
      </w:r>
    </w:p>
  </w:footnote>
  <w:footnote w:type="continuationSeparator" w:id="0">
    <w:p w:rsidR="0033266F" w:rsidRDefault="00332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BE3"/>
    <w:rsid w:val="000B4205"/>
    <w:rsid w:val="0033266F"/>
    <w:rsid w:val="004E670A"/>
    <w:rsid w:val="00BE773C"/>
    <w:rsid w:val="00C32F18"/>
    <w:rsid w:val="00F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E3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E7BE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E7BE3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FE7BE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FE7BE3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FE7BE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E7BE3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FE7BE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E7BE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FE7BE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E7BE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FE7BE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E7BE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FE7BE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E7BE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FE7BE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E7BE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FE7BE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E7BE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FE7BE3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FE7BE3"/>
    <w:rPr>
      <w:lang w:eastAsia="zh-CN"/>
    </w:rPr>
  </w:style>
  <w:style w:type="paragraph" w:styleId="a5">
    <w:name w:val="Title"/>
    <w:link w:val="a6"/>
    <w:uiPriority w:val="10"/>
    <w:qFormat/>
    <w:rsid w:val="00FE7BE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7BE3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FE7BE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7BE3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FE7BE3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FE7BE3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FE7B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FE7BE3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FE7BE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E7BE3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FE7BE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FE7BE3"/>
  </w:style>
  <w:style w:type="paragraph" w:customStyle="1" w:styleId="Caption">
    <w:name w:val="Caption"/>
    <w:uiPriority w:val="35"/>
    <w:semiHidden/>
    <w:unhideWhenUsed/>
    <w:qFormat/>
    <w:rsid w:val="00FE7BE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FE7BE3"/>
    <w:rPr>
      <w:lang w:val="ru-RU" w:eastAsia="zh-CN" w:bidi="ar-SA"/>
    </w:rPr>
  </w:style>
  <w:style w:type="table" w:styleId="ab">
    <w:name w:val="Table Grid"/>
    <w:basedOn w:val="a1"/>
    <w:rsid w:val="00FE7B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7BE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7BE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E7BE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E7B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E7B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E7B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E7B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E7B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E7B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E7BE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E7BE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E7BE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E7BE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E7BE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E7BE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E7BE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E7BE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E7BE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rsid w:val="00FE7BE3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FE7BE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FE7BE3"/>
    <w:rPr>
      <w:sz w:val="18"/>
      <w:lang w:bidi="ar-SA"/>
    </w:rPr>
  </w:style>
  <w:style w:type="character" w:styleId="af">
    <w:name w:val="footnote reference"/>
    <w:uiPriority w:val="99"/>
    <w:unhideWhenUsed/>
    <w:rsid w:val="00FE7BE3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E7BE3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FE7BE3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FE7BE3"/>
    <w:rPr>
      <w:vertAlign w:val="superscript"/>
    </w:rPr>
  </w:style>
  <w:style w:type="paragraph" w:styleId="1">
    <w:name w:val="toc 1"/>
    <w:uiPriority w:val="39"/>
    <w:unhideWhenUsed/>
    <w:rsid w:val="00FE7BE3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FE7BE3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FE7BE3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FE7BE3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FE7BE3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FE7BE3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FE7BE3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FE7BE3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FE7BE3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FE7BE3"/>
    <w:rPr>
      <w:lang w:eastAsia="zh-CN"/>
    </w:rPr>
  </w:style>
  <w:style w:type="paragraph" w:styleId="af4">
    <w:name w:val="table of figures"/>
    <w:uiPriority w:val="99"/>
    <w:unhideWhenUsed/>
    <w:rsid w:val="00FE7BE3"/>
    <w:rPr>
      <w:lang w:eastAsia="zh-CN"/>
    </w:rPr>
  </w:style>
  <w:style w:type="paragraph" w:customStyle="1" w:styleId="ConsPlusTitle">
    <w:name w:val="ConsPlusTitle"/>
    <w:rsid w:val="00FE7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Calibri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urist2</cp:lastModifiedBy>
  <cp:revision>6</cp:revision>
  <dcterms:created xsi:type="dcterms:W3CDTF">2022-03-14T06:25:00Z</dcterms:created>
  <dcterms:modified xsi:type="dcterms:W3CDTF">2022-03-14T06:34:00Z</dcterms:modified>
</cp:coreProperties>
</file>