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bidi w:val="0"/>
        <w:ind w:left="0" w:hanging="0"/>
        <w:jc w:val="both"/>
        <w:outlineLvl w:val="0"/>
        <w:rPr/>
      </w:pPr>
      <w:r>
        <w:rPr/>
      </w:r>
    </w:p>
    <w:p>
      <w:pPr>
        <w:pStyle w:val="ConsPlusTitle"/>
        <w:bidi w:val="0"/>
        <w:ind w:left="0" w:hanging="0"/>
        <w:jc w:val="center"/>
        <w:rPr/>
      </w:pPr>
      <w:r>
        <w:rPr/>
        <w:t>ПРАВИТЕЛЬСТВО РОССИЙСКОЙ ФЕДЕРАЦИИ</w:t>
      </w:r>
    </w:p>
    <w:p>
      <w:pPr>
        <w:pStyle w:val="ConsPlusTitle"/>
        <w:bidi w:val="0"/>
        <w:ind w:left="0" w:hanging="0"/>
        <w:jc w:val="center"/>
        <w:rPr/>
      </w:pPr>
      <w:r>
        <w:rPr/>
      </w:r>
    </w:p>
    <w:p>
      <w:pPr>
        <w:pStyle w:val="ConsPlusTitle"/>
        <w:bidi w:val="0"/>
        <w:ind w:left="0" w:hanging="0"/>
        <w:jc w:val="center"/>
        <w:rPr/>
      </w:pPr>
      <w:r>
        <w:rPr/>
        <w:t>ПОСТАНОВЛЕНИЕ</w:t>
      </w:r>
    </w:p>
    <w:p>
      <w:pPr>
        <w:pStyle w:val="ConsPlusTitle"/>
        <w:bidi w:val="0"/>
        <w:ind w:left="0" w:hanging="0"/>
        <w:jc w:val="center"/>
        <w:rPr/>
      </w:pPr>
      <w:r>
        <w:rPr/>
        <w:t>от 3 марта 2017 г. N 252</w:t>
      </w:r>
    </w:p>
    <w:p>
      <w:pPr>
        <w:pStyle w:val="ConsPlusTitle"/>
        <w:bidi w:val="0"/>
        <w:ind w:left="0" w:hanging="0"/>
        <w:jc w:val="center"/>
        <w:rPr/>
      </w:pPr>
      <w:r>
        <w:rPr/>
      </w:r>
    </w:p>
    <w:p>
      <w:pPr>
        <w:pStyle w:val="ConsPlusTitle"/>
        <w:bidi w:val="0"/>
        <w:ind w:left="0" w:hanging="0"/>
        <w:jc w:val="center"/>
        <w:rPr/>
      </w:pPr>
      <w:r>
        <w:rPr/>
        <w:t>О НЕКОТОРЫХ ВОПРОСАХ</w:t>
      </w:r>
    </w:p>
    <w:p>
      <w:pPr>
        <w:pStyle w:val="ConsPlusTitle"/>
        <w:bidi w:val="0"/>
        <w:ind w:left="0" w:hanging="0"/>
        <w:jc w:val="center"/>
        <w:rPr/>
      </w:pPr>
      <w:r>
        <w:rPr/>
        <w:t>ОБЕСПЕЧЕНИЯ БЕЗОПАСНОСТИ ТУРИЗМА В РОССИЙСКОЙ ФЕДЕРАЦИИ</w:t>
      </w:r>
    </w:p>
    <w:p>
      <w:pPr>
        <w:pStyle w:val="ConsPlusNormal"/>
        <w:bidi w:val="0"/>
        <w:ind w:left="0" w:hanging="0"/>
        <w:jc w:val="both"/>
        <w:rPr/>
      </w:pPr>
      <w:r>
        <w:rPr/>
      </w:r>
    </w:p>
    <w:p>
      <w:pPr>
        <w:pStyle w:val="ConsPlusNormal"/>
        <w:bidi w:val="0"/>
        <w:ind w:left="0" w:firstLine="540"/>
        <w:jc w:val="both"/>
        <w:rPr/>
      </w:pPr>
      <w:r>
        <w:rPr/>
        <w:t xml:space="preserve">В целях обеспечения </w:t>
      </w:r>
      <w:hyperlink r:id="rId2">
        <w:r>
          <w:rPr>
            <w:color w:val="0000FF"/>
          </w:rPr>
          <w:t>безопасности</w:t>
        </w:r>
      </w:hyperlink>
      <w:r>
        <w:rPr/>
        <w:t xml:space="preserve"> туризма в Российской Федерации Правительство Российской Федерации постановляет:</w:t>
      </w:r>
    </w:p>
    <w:p>
      <w:pPr>
        <w:pStyle w:val="ConsPlusNormal"/>
        <w:bidi w:val="0"/>
        <w:spacing w:before="240" w:after="0"/>
        <w:ind w:left="0" w:firstLine="540"/>
        <w:jc w:val="both"/>
        <w:rPr/>
      </w:pPr>
      <w:r>
        <w:rPr/>
        <w:t>1. Организациям и индивидуальным предпринимателям, оказывающим услуги в сфере занятия активными видами туризма на территории Российской Федерации, туристам и туристским группам, в том числе имеющим в своем составе несовершеннолетних детей, а также туристам с несовершеннолетними детьми, осуществляющим самостоятельные путешествия по территории Российской Федерации, не позднее чем за 10 рабочих дней до начала путешествия информировать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w:t>
      </w:r>
    </w:p>
    <w:p>
      <w:pPr>
        <w:pStyle w:val="ConsPlusNormal"/>
        <w:bidi w:val="0"/>
        <w:spacing w:before="240" w:after="0"/>
        <w:ind w:left="0" w:firstLine="540"/>
        <w:jc w:val="both"/>
        <w:rPr/>
      </w:pPr>
      <w:r>
        <w:rPr/>
        <w:t xml:space="preserve">2. Министерству Российской Федерации по делам гражданской обороны, чрезвычайным ситуациям и ликвидации последствий стихийных бедствий в 6-месячный срок в установленном порядке утвердить </w:t>
      </w:r>
      <w:hyperlink r:id="rId3">
        <w:r>
          <w:rPr>
            <w:color w:val="0000FF"/>
          </w:rPr>
          <w:t>порядок</w:t>
        </w:r>
      </w:hyperlink>
      <w:r>
        <w:rPr/>
        <w:t xml:space="preserve"> информирования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а также </w:t>
      </w:r>
      <w:hyperlink r:id="rId4">
        <w:r>
          <w:rPr>
            <w:color w:val="0000FF"/>
          </w:rPr>
          <w:t>порядок</w:t>
        </w:r>
      </w:hyperlink>
      <w:r>
        <w:rPr/>
        <w:t xml:space="preserve"> хранения, использования и снятия с учета представленной информации.</w:t>
      </w:r>
    </w:p>
    <w:p>
      <w:pPr>
        <w:pStyle w:val="ConsPlusNormal"/>
        <w:bidi w:val="0"/>
        <w:spacing w:before="240" w:after="0"/>
        <w:ind w:left="0" w:firstLine="540"/>
        <w:jc w:val="both"/>
        <w:rPr/>
      </w:pPr>
      <w:r>
        <w:rPr/>
        <w:t>3. Реализация полномочий Министерства Российской Федерации по делам гражданской обороны, чрезвычайным ситуациям и ликвидации последствий стихийных бедствий,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его центрального аппарата и территориальных органов, а также бюджетных ассигнований, предусмотренных Министерству в федеральном бюджете на руководство и управление в сфере установленных функций.</w:t>
      </w:r>
    </w:p>
    <w:p>
      <w:pPr>
        <w:pStyle w:val="ConsPlusNormal"/>
        <w:bidi w:val="0"/>
        <w:ind w:left="0" w:hanging="0"/>
        <w:jc w:val="both"/>
        <w:rPr/>
      </w:pPr>
      <w:r>
        <w:rPr/>
      </w:r>
    </w:p>
    <w:p>
      <w:pPr>
        <w:pStyle w:val="ConsPlusNormal"/>
        <w:bidi w:val="0"/>
        <w:ind w:left="0" w:hanging="0"/>
        <w:jc w:val="right"/>
        <w:rPr/>
      </w:pPr>
      <w:r>
        <w:rPr/>
        <w:t>Председатель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Д.МЕДВЕДЕВ</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5"/>
      <w:headerReference w:type="first" r:id="rId6"/>
      <w:footerReference w:type="default" r:id="rId7"/>
      <w:footerReference w:type="first" r:id="rId8"/>
      <w:type w:val="nextPage"/>
      <w:pgSz w:w="11906" w:h="16838"/>
      <w:pgMar w:left="1133" w:right="566" w:gutter="0" w:header="0" w:top="1440" w:footer="0" w:bottom="144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0">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tbl>
    <w:tblPr>
      <w:tblW w:w="10207" w:type="dxa"/>
      <w:jc w:val="left"/>
      <w:tblInd w:w="40" w:type="dxa"/>
      <w:tblLayout w:type="fixed"/>
      <w:tblCellMar>
        <w:top w:w="0" w:type="dxa"/>
        <w:left w:w="40" w:type="dxa"/>
        <w:bottom w:w="0" w:type="dxa"/>
        <w:right w:w="40" w:type="dxa"/>
      </w:tblCellMar>
    </w:tblPr>
    <w:tblGrid>
      <w:gridCol w:w="3368"/>
      <w:gridCol w:w="3469"/>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0" w:hAnsi="0"/>
              <w:b/>
              <w:color w:val="F58220"/>
              <w:sz w:val="28"/>
              <w:u w:val="none"/>
            </w:rPr>
            <w:t>КонсультантПлюс</w:t>
          </w:r>
          <w:r>
            <w:rPr>
              <w:rFonts w:ascii="0" w:hAnsi="0"/>
              <w:b/>
              <w:color w:val="auto"/>
              <w:sz w:val="16"/>
              <w:u w:val="none"/>
            </w:rPr>
            <w:br/>
            <w:t>надежная правовая поддержка</w:t>
          </w:r>
        </w:p>
      </w:tc>
      <w:tc>
        <w:tcPr>
          <w:tcW w:w="3469" w:type="dxa"/>
          <w:tcBorders/>
          <w:vAlign w:val="center"/>
        </w:tcPr>
        <w:p>
          <w:pPr>
            <w:pStyle w:val="ConsPlusNormal"/>
            <w:widowControl w:val="false"/>
            <w:tabs>
              <w:tab w:val="clear" w:pos="720"/>
            </w:tabs>
            <w:bidi w:val="0"/>
            <w:jc w:val="center"/>
            <w:rPr/>
          </w:pPr>
          <w:hyperlink r:id="rId1">
            <w:r>
              <w:rPr>
                <w:rFonts w:ascii="0" w:hAnsi="0"/>
                <w:b/>
                <w:color w:val="0000FF"/>
                <w:sz w:val="20"/>
                <w:u w:val="none"/>
              </w:rPr>
              <w:t>www.consultant.ru</w:t>
            </w:r>
          </w:hyperlink>
        </w:p>
      </w:tc>
      <w:tc>
        <w:tcPr>
          <w:tcW w:w="3370" w:type="dxa"/>
          <w:tcBorders/>
          <w:vAlign w:val="center"/>
        </w:tcPr>
        <w:p>
          <w:pPr>
            <w:pStyle w:val="ConsPlusNormal"/>
            <w:widowControl w:val="false"/>
            <w:tabs>
              <w:tab w:val="clear" w:pos="720"/>
            </w:tabs>
            <w:bidi w:val="0"/>
            <w:jc w:val="right"/>
            <w:rPr/>
          </w:pPr>
          <w:r>
            <w:rPr>
              <w:rFonts w:ascii="0" w:hAnsi="0"/>
              <w:sz w:val="20"/>
              <w:u w:val="none"/>
            </w:rPr>
            <w:t xml:space="preserve">Страница </w:t>
          </w:r>
          <w:r>
            <w:rPr/>
            <w:fldChar w:fldCharType="begin"/>
          </w:r>
          <w:r>
            <w:rPr/>
            <w:instrText xml:space="preserve"> PAGE </w:instrText>
          </w:r>
          <w:r>
            <w:rPr/>
            <w:fldChar w:fldCharType="separate"/>
          </w:r>
          <w:r>
            <w:rPr/>
            <w:t>0</w:t>
          </w:r>
          <w:r>
            <w:rPr/>
            <w:fldChar w:fldCharType="end"/>
          </w:r>
          <w:r>
            <w:rPr>
              <w:rFonts w:ascii="0" w:hAnsi="0"/>
              <w:sz w:val="20"/>
              <w:u w:val="none"/>
            </w:rPr>
            <w:t xml:space="preserve"> из </w:t>
          </w:r>
          <w:r>
            <w:rPr/>
            <w:fldChar w:fldCharType="begin"/>
          </w:r>
          <w:r>
            <w:rPr/>
            <w:instrText xml:space="preserve"> NUMPAGES </w:instrText>
          </w:r>
          <w:r>
            <w:rPr/>
            <w:fldChar w:fldCharType="separate"/>
          </w:r>
          <w:r>
            <w:rPr/>
            <w:t>1</w:t>
          </w:r>
          <w:r>
            <w:rPr/>
            <w:fldChar w:fldCharType="end"/>
          </w:r>
        </w:p>
      </w:tc>
    </w:tr>
  </w:tbl>
  <w:p>
    <w:pPr>
      <w:pStyle w:val="ConsPlusNormal"/>
      <w:widowControl w:val="false"/>
      <w:bidi w:val="0"/>
      <w:jc w:val="left"/>
      <w:rPr>
        <w:rFonts w:ascii="Times New Roman" w:hAnsi="Times New Roman"/>
        <w:b w:val="false"/>
        <w:i w:val="false"/>
        <w:i w:val="false"/>
        <w:sz w:val="1"/>
        <w:u w:val="none"/>
      </w:rPr>
    </w:pPr>
    <w:r>
      <w:rPr>
        <w:b w:val="false"/>
        <w:i w:val="false"/>
        <w:sz w:val="1"/>
        <w:u w:val="no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tbl>
    <w:tblPr>
      <w:tblW w:w="10207" w:type="dxa"/>
      <w:jc w:val="left"/>
      <w:tblInd w:w="40" w:type="dxa"/>
      <w:tblLayout w:type="fixed"/>
      <w:tblCellMar>
        <w:top w:w="0" w:type="dxa"/>
        <w:left w:w="40" w:type="dxa"/>
        <w:bottom w:w="0" w:type="dxa"/>
        <w:right w:w="40" w:type="dxa"/>
      </w:tblCellMar>
    </w:tblPr>
    <w:tblGrid>
      <w:gridCol w:w="3368"/>
      <w:gridCol w:w="3469"/>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0" w:hAnsi="0"/>
              <w:b/>
              <w:color w:val="F58220"/>
              <w:sz w:val="28"/>
              <w:u w:val="none"/>
            </w:rPr>
            <w:t>КонсультантПлюс</w:t>
          </w:r>
          <w:r>
            <w:rPr>
              <w:rFonts w:ascii="0" w:hAnsi="0"/>
              <w:b/>
              <w:color w:val="auto"/>
              <w:sz w:val="16"/>
              <w:u w:val="none"/>
            </w:rPr>
            <w:br/>
            <w:t>надежная правовая поддержка</w:t>
          </w:r>
        </w:p>
      </w:tc>
      <w:tc>
        <w:tcPr>
          <w:tcW w:w="3469" w:type="dxa"/>
          <w:tcBorders/>
          <w:vAlign w:val="center"/>
        </w:tcPr>
        <w:p>
          <w:pPr>
            <w:pStyle w:val="ConsPlusNormal"/>
            <w:widowControl w:val="false"/>
            <w:tabs>
              <w:tab w:val="clear" w:pos="720"/>
            </w:tabs>
            <w:bidi w:val="0"/>
            <w:jc w:val="center"/>
            <w:rPr/>
          </w:pPr>
          <w:hyperlink r:id="rId1">
            <w:r>
              <w:rPr>
                <w:rFonts w:ascii="0" w:hAnsi="0"/>
                <w:b/>
                <w:color w:val="0000FF"/>
                <w:sz w:val="20"/>
                <w:u w:val="none"/>
              </w:rPr>
              <w:t>www.consultant.ru</w:t>
            </w:r>
          </w:hyperlink>
        </w:p>
      </w:tc>
      <w:tc>
        <w:tcPr>
          <w:tcW w:w="3370" w:type="dxa"/>
          <w:tcBorders/>
          <w:vAlign w:val="center"/>
        </w:tcPr>
        <w:p>
          <w:pPr>
            <w:pStyle w:val="ConsPlusNormal"/>
            <w:widowControl w:val="false"/>
            <w:tabs>
              <w:tab w:val="clear" w:pos="720"/>
            </w:tabs>
            <w:bidi w:val="0"/>
            <w:jc w:val="right"/>
            <w:rPr/>
          </w:pPr>
          <w:r>
            <w:rPr>
              <w:rFonts w:ascii="0" w:hAnsi="0"/>
              <w:sz w:val="20"/>
              <w:u w:val="none"/>
            </w:rPr>
            <w:t xml:space="preserve">Страница </w:t>
          </w:r>
          <w:r>
            <w:rPr/>
            <w:fldChar w:fldCharType="begin"/>
          </w:r>
          <w:r>
            <w:rPr/>
            <w:instrText xml:space="preserve"> PAGE </w:instrText>
          </w:r>
          <w:r>
            <w:rPr/>
            <w:fldChar w:fldCharType="separate"/>
          </w:r>
          <w:r>
            <w:rPr/>
            <w:t>1</w:t>
          </w:r>
          <w:r>
            <w:rPr/>
            <w:fldChar w:fldCharType="end"/>
          </w:r>
          <w:r>
            <w:rPr>
              <w:rFonts w:ascii="0" w:hAnsi="0"/>
              <w:sz w:val="20"/>
              <w:u w:val="none"/>
            </w:rPr>
            <w:t xml:space="preserve"> из </w:t>
          </w:r>
          <w:r>
            <w:rPr/>
            <w:fldChar w:fldCharType="begin"/>
          </w:r>
          <w:r>
            <w:rPr/>
            <w:instrText xml:space="preserve"> NUMPAGES </w:instrText>
          </w:r>
          <w:r>
            <w:rPr/>
            <w:fldChar w:fldCharType="separate"/>
          </w:r>
          <w:r>
            <w:rPr/>
            <w:t>1</w:t>
          </w:r>
          <w:r>
            <w:rPr/>
            <w:fldChar w:fldCharType="end"/>
          </w:r>
        </w:p>
      </w:tc>
    </w:tr>
  </w:tbl>
  <w:p>
    <w:pPr>
      <w:pStyle w:val="ConsPlusNormal"/>
      <w:widowControl w:val="false"/>
      <w:bidi w:val="0"/>
      <w:jc w:val="left"/>
      <w:rPr>
        <w:rFonts w:ascii="Times New Roman" w:hAnsi="Times New Roman"/>
        <w:b w:val="false"/>
        <w:i w:val="false"/>
        <w:i w:val="false"/>
        <w:sz w:val="1"/>
        <w:u w:val="none"/>
      </w:rPr>
    </w:pPr>
    <w:r>
      <w:rPr>
        <w:b w:val="false"/>
        <w:i w:val="false"/>
        <w:sz w:val="1"/>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40" w:type="dxa"/>
      <w:tblLayout w:type="fixed"/>
      <w:tblCellMar>
        <w:top w:w="0" w:type="dxa"/>
        <w:left w:w="40" w:type="dxa"/>
        <w:bottom w:w="0" w:type="dxa"/>
        <w:right w:w="40" w:type="dxa"/>
      </w:tblCellMar>
    </w:tblPr>
    <w:tblGrid>
      <w:gridCol w:w="5612"/>
      <w:gridCol w:w="512"/>
      <w:gridCol w:w="4083"/>
    </w:tblGrid>
    <w:tr>
      <w:trPr>
        <w:trHeight w:val="1683" w:hRule="exact"/>
      </w:trPr>
      <w:tc>
        <w:tcPr>
          <w:tcW w:w="5612" w:type="dxa"/>
          <w:tcBorders/>
          <w:vAlign w:val="center"/>
        </w:tcPr>
        <w:p>
          <w:pPr>
            <w:pStyle w:val="ConsPlusNormal"/>
            <w:widowControl w:val="false"/>
            <w:tabs>
              <w:tab w:val="clear" w:pos="720"/>
            </w:tabs>
            <w:bidi w:val="0"/>
            <w:jc w:val="left"/>
            <w:rPr/>
          </w:pPr>
          <w:r>
            <w:rPr>
              <w:rFonts w:ascii="0" w:hAnsi="0"/>
              <w:sz w:val="16"/>
              <w:u w:val="none"/>
            </w:rPr>
            <w:t>Постановление Правительства РФ от 03.03.2017 N 252</w:t>
            <w:br/>
            <w:t>"О некоторых вопросах обеспечения безопасности туризма в Российской Ф...</w:t>
          </w:r>
        </w:p>
      </w:tc>
      <w:tc>
        <w:tcPr>
          <w:tcW w:w="512" w:type="dxa"/>
          <w:tcBorders/>
          <w:vAlign w:val="center"/>
        </w:tcPr>
        <w:p>
          <w:pPr>
            <w:pStyle w:val="ConsPlusNormal"/>
            <w:widowControl w:val="false"/>
            <w:tabs>
              <w:tab w:val="clear" w:pos="720"/>
            </w:tabs>
            <w:bidi w:val="0"/>
            <w:jc w:val="center"/>
            <w:rPr>
              <w:rFonts w:ascii="Times New Roman" w:hAnsi="Times New Roman"/>
              <w:b w:val="false"/>
              <w:i w:val="false"/>
              <w:i w:val="false"/>
              <w:sz w:val="24"/>
              <w:u w:val="none"/>
            </w:rPr>
          </w:pPr>
          <w:r>
            <w:rPr>
              <w:b w:val="false"/>
              <w:i w:val="false"/>
              <w:sz w:val="24"/>
              <w:u w:val="none"/>
            </w:rPr>
          </w:r>
        </w:p>
        <w:p>
          <w:pPr>
            <w:pStyle w:val="ConsPlusNormal"/>
            <w:widowControl w:val="false"/>
            <w:tabs>
              <w:tab w:val="clear" w:pos="720"/>
            </w:tabs>
            <w:bidi w:val="0"/>
            <w:jc w:val="center"/>
            <w:rPr/>
          </w:pPr>
          <w:r>
            <w:rPr/>
          </w:r>
        </w:p>
      </w:tc>
      <w:tc>
        <w:tcPr>
          <w:tcW w:w="4083" w:type="dxa"/>
          <w:tcBorders/>
          <w:vAlign w:val="center"/>
        </w:tcPr>
        <w:p>
          <w:pPr>
            <w:pStyle w:val="ConsPlusNormal"/>
            <w:widowControl w:val="false"/>
            <w:tabs>
              <w:tab w:val="clear" w:pos="720"/>
            </w:tabs>
            <w:bidi w:val="0"/>
            <w:jc w:val="right"/>
            <w:rPr/>
          </w:pPr>
          <w:r>
            <w:rPr>
              <w:rFonts w:ascii="0" w:hAnsi="0"/>
              <w:sz w:val="18"/>
              <w:u w:val="none"/>
            </w:rPr>
            <w:t xml:space="preserve">Документ предоставлен </w:t>
          </w:r>
          <w:hyperlink r:id="rId1">
            <w:r>
              <w:rPr>
                <w:rFonts w:ascii="0" w:hAnsi="0"/>
                <w:color w:val="0000FF"/>
                <w:sz w:val="18"/>
                <w:u w:val="none"/>
              </w:rPr>
              <w:t>КонсультантПлюс</w:t>
            </w:r>
          </w:hyperlink>
          <w:r>
            <w:rPr>
              <w:rFonts w:ascii="0" w:hAnsi="0"/>
              <w:sz w:val="18"/>
              <w:u w:val="none"/>
            </w:rPr>
            <w:br/>
          </w:r>
          <w:r>
            <w:rPr>
              <w:rFonts w:ascii="0" w:hAnsi="0"/>
              <w:sz w:val="16"/>
              <w:u w:val="none"/>
            </w:rPr>
            <w:t>Дата сохранения: 21.05.2020</w:t>
          </w:r>
        </w:p>
      </w:tc>
    </w:tr>
  </w:tbl>
  <w:p>
    <w:pPr>
      <w:pStyle w:val="ConsPlusNormal"/>
      <w:widowControl w:val="false"/>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p>
    <w:pPr>
      <w:pStyle w:val="ConsPlusNormal"/>
      <w:bidi w:val="0"/>
      <w:jc w:val="center"/>
      <w:rPr>
        <w:rFonts w:ascii="Times New Roman" w:hAnsi="Times New Roman"/>
        <w:b w:val="false"/>
        <w:i w:val="false"/>
        <w:i w:val="false"/>
        <w:sz w:val="10"/>
        <w:u w:val="none"/>
      </w:rPr>
    </w:pPr>
    <w:r>
      <w:rPr>
        <w:b w:val="false"/>
        <w:i w:val="false"/>
        <w:sz w:val="10"/>
        <w:u w:val="none"/>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7" w:type="dxa"/>
      <w:jc w:val="left"/>
      <w:tblInd w:w="40" w:type="dxa"/>
      <w:tblLayout w:type="fixed"/>
      <w:tblCellMar>
        <w:top w:w="0" w:type="dxa"/>
        <w:left w:w="40" w:type="dxa"/>
        <w:bottom w:w="0" w:type="dxa"/>
        <w:right w:w="40" w:type="dxa"/>
      </w:tblCellMar>
    </w:tblPr>
    <w:tblGrid>
      <w:gridCol w:w="5612"/>
      <w:gridCol w:w="512"/>
      <w:gridCol w:w="4083"/>
    </w:tblGrid>
    <w:tr>
      <w:trPr>
        <w:trHeight w:val="1683" w:hRule="exact"/>
      </w:trPr>
      <w:tc>
        <w:tcPr>
          <w:tcW w:w="5612" w:type="dxa"/>
          <w:tcBorders/>
          <w:vAlign w:val="center"/>
        </w:tcPr>
        <w:p>
          <w:pPr>
            <w:pStyle w:val="ConsPlusNormal"/>
            <w:widowControl w:val="false"/>
            <w:tabs>
              <w:tab w:val="clear" w:pos="720"/>
            </w:tabs>
            <w:bidi w:val="0"/>
            <w:jc w:val="left"/>
            <w:rPr>
              <w:rFonts w:ascii="Times New Roman" w:hAnsi="Times New Roman"/>
              <w:b w:val="false"/>
              <w:i w:val="false"/>
              <w:i w:val="false"/>
              <w:sz w:val="24"/>
              <w:u w:val="none"/>
            </w:rPr>
          </w:pPr>
          <w:r>
            <w:rPr/>
            <w:drawing>
              <wp:inline distT="0" distB="0" distL="0" distR="0">
                <wp:extent cx="1905000" cy="4476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
                        <a:stretch>
                          <a:fillRect/>
                        </a:stretch>
                      </pic:blipFill>
                      <pic:spPr bwMode="auto">
                        <a:xfrm>
                          <a:off x="0" y="0"/>
                          <a:ext cx="1905000" cy="447675"/>
                        </a:xfrm>
                        <a:prstGeom prst="rect">
                          <a:avLst/>
                        </a:prstGeom>
                      </pic:spPr>
                    </pic:pic>
                  </a:graphicData>
                </a:graphic>
              </wp:inline>
            </w:drawing>
          </w:r>
        </w:p>
        <w:p>
          <w:pPr>
            <w:pStyle w:val="ConsPlusNormal"/>
            <w:widowControl w:val="false"/>
            <w:tabs>
              <w:tab w:val="clear" w:pos="720"/>
            </w:tabs>
            <w:bidi w:val="0"/>
            <w:jc w:val="left"/>
            <w:rPr/>
          </w:pPr>
          <w:r>
            <w:rPr>
              <w:rFonts w:ascii="0" w:hAnsi="0"/>
              <w:sz w:val="16"/>
              <w:u w:val="none"/>
            </w:rPr>
            <w:t>Постановление Правительства РФ от 03.03.2017 N 252</w:t>
            <w:br/>
            <w:t>"О некоторых вопросах обеспечения безопасности туризма в Российской Ф...</w:t>
          </w:r>
        </w:p>
      </w:tc>
      <w:tc>
        <w:tcPr>
          <w:tcW w:w="512" w:type="dxa"/>
          <w:tcBorders/>
          <w:vAlign w:val="center"/>
        </w:tcPr>
        <w:p>
          <w:pPr>
            <w:pStyle w:val="ConsPlusNormal"/>
            <w:widowControl w:val="false"/>
            <w:tabs>
              <w:tab w:val="clear" w:pos="720"/>
            </w:tabs>
            <w:bidi w:val="0"/>
            <w:jc w:val="center"/>
            <w:rPr>
              <w:rFonts w:ascii="Times New Roman" w:hAnsi="Times New Roman"/>
              <w:b w:val="false"/>
              <w:i w:val="false"/>
              <w:i w:val="false"/>
              <w:sz w:val="24"/>
              <w:u w:val="none"/>
            </w:rPr>
          </w:pPr>
          <w:r>
            <w:rPr>
              <w:b w:val="false"/>
              <w:i w:val="false"/>
              <w:sz w:val="24"/>
              <w:u w:val="none"/>
            </w:rPr>
          </w:r>
        </w:p>
        <w:p>
          <w:pPr>
            <w:pStyle w:val="ConsPlusNormal"/>
            <w:widowControl w:val="false"/>
            <w:tabs>
              <w:tab w:val="clear" w:pos="720"/>
            </w:tabs>
            <w:bidi w:val="0"/>
            <w:jc w:val="center"/>
            <w:rPr/>
          </w:pPr>
          <w:r>
            <w:rPr/>
          </w:r>
        </w:p>
      </w:tc>
      <w:tc>
        <w:tcPr>
          <w:tcW w:w="4083" w:type="dxa"/>
          <w:tcBorders/>
          <w:vAlign w:val="center"/>
        </w:tcPr>
        <w:p>
          <w:pPr>
            <w:pStyle w:val="ConsPlusNormal"/>
            <w:widowControl w:val="false"/>
            <w:tabs>
              <w:tab w:val="clear" w:pos="720"/>
            </w:tabs>
            <w:bidi w:val="0"/>
            <w:jc w:val="right"/>
            <w:rPr/>
          </w:pPr>
          <w:r>
            <w:rPr>
              <w:rFonts w:ascii="0" w:hAnsi="0"/>
              <w:sz w:val="18"/>
              <w:u w:val="none"/>
            </w:rPr>
            <w:t xml:space="preserve">Документ предоставлен </w:t>
          </w:r>
          <w:hyperlink r:id="rId2">
            <w:r>
              <w:rPr>
                <w:rFonts w:ascii="0" w:hAnsi="0"/>
                <w:color w:val="0000FF"/>
                <w:sz w:val="18"/>
                <w:u w:val="none"/>
              </w:rPr>
              <w:t>КонсультантПлюс</w:t>
            </w:r>
          </w:hyperlink>
          <w:r>
            <w:rPr>
              <w:rFonts w:ascii="0" w:hAnsi="0"/>
              <w:sz w:val="18"/>
              <w:u w:val="none"/>
            </w:rPr>
            <w:br/>
          </w:r>
          <w:r>
            <w:rPr>
              <w:rFonts w:ascii="0" w:hAnsi="0"/>
              <w:sz w:val="16"/>
              <w:u w:val="none"/>
            </w:rPr>
            <w:t>Дата сохранения: 21.05.2020</w:t>
          </w:r>
        </w:p>
      </w:tc>
    </w:tr>
  </w:tbl>
  <w:p>
    <w:pPr>
      <w:pStyle w:val="ConsPlusNormal"/>
      <w:widowControl w:val="false"/>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p>
    <w:pPr>
      <w:pStyle w:val="ConsPlusNormal"/>
      <w:bidi w:val="0"/>
      <w:jc w:val="center"/>
      <w:rPr>
        <w:rFonts w:ascii="Times New Roman" w:hAnsi="Times New Roman"/>
        <w:b w:val="false"/>
        <w:i w:val="false"/>
        <w:i w:val="false"/>
        <w:sz w:val="10"/>
        <w:u w:val="none"/>
      </w:rPr>
    </w:pPr>
    <w:r>
      <w:rPr>
        <w:b w:val="false"/>
        <w:i w:val="false"/>
        <w:sz w:val="10"/>
        <w:u w:val="none"/>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49157&amp;date=21.05.2020&amp;dst=100209&amp;fld=134" TargetMode="External"/><Relationship Id="rId3" Type="http://schemas.openxmlformats.org/officeDocument/2006/relationships/hyperlink" Target="https://login.consultant.ru/link/?req=doc&amp;base=LAW&amp;n=319019&amp;date=21.05.2020&amp;dst=100013&amp;fld=134" TargetMode="External"/><Relationship Id="rId4" Type="http://schemas.openxmlformats.org/officeDocument/2006/relationships/hyperlink" Target="https://login.consultant.ru/link/?req=doc&amp;base=LAW&amp;n=319019&amp;date=21.05.2020&amp;dst=100055&amp;fld=134"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footer2.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LibreOffice/7.5.3.2$Windows_X86_64 LibreOffice_project/9f56dff12ba03b9acd7730a5a481eea045e468f3</Application>
  <AppVersion>15.0000</AppVersion>
  <Pages>1</Pages>
  <Words>332</Words>
  <Characters>2572</Characters>
  <CharactersWithSpaces>2884</CharactersWithSpaces>
  <Paragraphs>25</Paragraphs>
  <Company>КонсультантПлюс Версия 4018.00.50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2020-05-21T14:08:00Z</dcterms:created>
  <dc:creator/>
  <dc:description/>
  <dc:language>ru-RU</dc:language>
  <cp:lastModifiedBy/>
  <cp:revision>0</cp:revision>
  <dc:subject/>
  <dc:title>Постановление Правительства РФ от 03.03.2017 N 252"О некоторых вопросах обеспечения безопасности туризма в Российской Федерации"</dc:title>
</cp:coreProperties>
</file>

<file path=docProps/custom.xml><?xml version="1.0" encoding="utf-8"?>
<Properties xmlns="http://schemas.openxmlformats.org/officeDocument/2006/custom-properties" xmlns:vt="http://schemas.openxmlformats.org/officeDocument/2006/docPropsVTypes"/>
</file>